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92767D" w:rsidP="008F2E30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PROTECTION AND PERMANENCY</w:t>
      </w:r>
      <w:r w:rsidR="001433CD">
        <w:rPr>
          <w:rFonts w:ascii="Verdana" w:hAnsi="Verdana"/>
          <w:b/>
          <w:szCs w:val="22"/>
        </w:rPr>
        <w:t xml:space="preserve"> INFORMATION</w:t>
      </w:r>
      <w:r w:rsidR="00EA4020">
        <w:rPr>
          <w:rFonts w:ascii="Verdana" w:hAnsi="Verdana"/>
          <w:b/>
          <w:szCs w:val="22"/>
        </w:rPr>
        <w:t xml:space="preserve"> MEMORANDUM, 15</w:t>
      </w:r>
      <w:r w:rsidR="003070B5">
        <w:rPr>
          <w:rFonts w:ascii="Verdana" w:hAnsi="Verdana"/>
          <w:b/>
          <w:szCs w:val="22"/>
        </w:rPr>
        <w:t>-</w:t>
      </w:r>
      <w:r w:rsidR="00A74CB1">
        <w:rPr>
          <w:rFonts w:ascii="Verdana" w:hAnsi="Verdana"/>
          <w:b/>
          <w:szCs w:val="22"/>
        </w:rPr>
        <w:t>09</w:t>
      </w:r>
      <w:bookmarkStart w:id="0" w:name="_GoBack"/>
      <w:bookmarkEnd w:id="0"/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F93091">
        <w:rPr>
          <w:rFonts w:ascii="Verdana" w:hAnsi="Verdana"/>
          <w:szCs w:val="22"/>
        </w:rPr>
        <w:t>Tina Webb, Assistant Director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="00CC1E33">
        <w:rPr>
          <w:rFonts w:ascii="Verdana" w:hAnsi="Verdana"/>
          <w:szCs w:val="22"/>
        </w:rPr>
        <w:t xml:space="preserve"> </w:t>
      </w:r>
      <w:r w:rsidR="00CC1E33">
        <w:rPr>
          <w:rFonts w:ascii="Verdana" w:hAnsi="Verdana"/>
          <w:szCs w:val="22"/>
        </w:rPr>
        <w:tab/>
      </w:r>
      <w:r w:rsidR="00A7373C">
        <w:rPr>
          <w:rFonts w:ascii="Verdana" w:hAnsi="Verdana"/>
          <w:szCs w:val="22"/>
        </w:rPr>
        <w:t>December 14, 2015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A7373C" w:rsidRDefault="00E31F97" w:rsidP="00A7373C">
      <w:pPr>
        <w:ind w:left="1440" w:hanging="1440"/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>SUBJECT:</w:t>
      </w:r>
      <w:r w:rsidR="003A643A">
        <w:rPr>
          <w:rFonts w:ascii="Verdana" w:hAnsi="Verdana"/>
          <w:b/>
          <w:szCs w:val="22"/>
        </w:rPr>
        <w:tab/>
      </w:r>
      <w:r w:rsidR="00A7373C">
        <w:rPr>
          <w:rFonts w:ascii="Verdana" w:hAnsi="Verdana"/>
          <w:szCs w:val="22"/>
        </w:rPr>
        <w:t xml:space="preserve">New </w:t>
      </w:r>
      <w:r w:rsidR="00417B40">
        <w:rPr>
          <w:rFonts w:ascii="Verdana" w:hAnsi="Verdana"/>
          <w:szCs w:val="22"/>
        </w:rPr>
        <w:t>TWIST</w:t>
      </w:r>
      <w:r w:rsidR="00A7373C">
        <w:rPr>
          <w:rFonts w:ascii="Verdana" w:hAnsi="Verdana"/>
          <w:szCs w:val="22"/>
        </w:rPr>
        <w:t xml:space="preserve"> Screens</w:t>
      </w:r>
      <w:r w:rsidR="00417B40">
        <w:rPr>
          <w:rFonts w:ascii="Verdana" w:hAnsi="Verdana"/>
          <w:szCs w:val="22"/>
        </w:rPr>
        <w:t>-Case Planning</w:t>
      </w:r>
    </w:p>
    <w:p w:rsidR="00A7373C" w:rsidRDefault="00A7373C" w:rsidP="00A7373C">
      <w:pPr>
        <w:ind w:left="1440" w:hanging="1440"/>
        <w:rPr>
          <w:rFonts w:ascii="Verdana" w:hAnsi="Verdana"/>
          <w:color w:val="000000"/>
        </w:rPr>
      </w:pPr>
    </w:p>
    <w:p w:rsidR="00C61406" w:rsidRDefault="00A7373C" w:rsidP="00A7373C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The purpose of this memorandum is to provide additional information regarding the new case planning screens in </w:t>
      </w:r>
      <w:proofErr w:type="spellStart"/>
      <w:r>
        <w:rPr>
          <w:rFonts w:ascii="Verdana" w:hAnsi="Verdana"/>
          <w:color w:val="000000"/>
        </w:rPr>
        <w:t>i</w:t>
      </w:r>
      <w:r w:rsidR="00417B40">
        <w:rPr>
          <w:rFonts w:ascii="Verdana" w:hAnsi="Verdana"/>
          <w:color w:val="000000"/>
        </w:rPr>
        <w:t>TWIST</w:t>
      </w:r>
      <w:proofErr w:type="spellEnd"/>
      <w:r>
        <w:rPr>
          <w:rFonts w:ascii="Verdana" w:hAnsi="Verdana"/>
          <w:color w:val="000000"/>
        </w:rPr>
        <w:t>.</w:t>
      </w:r>
      <w:r w:rsidR="00C61406">
        <w:rPr>
          <w:rFonts w:ascii="Verdana" w:hAnsi="Verdana"/>
          <w:color w:val="000000"/>
        </w:rPr>
        <w:t xml:space="preserve">  Since training was released, several questions have been received by central office staff and this memorandum services to clarify some of the major </w:t>
      </w:r>
      <w:r w:rsidR="00052AD8">
        <w:rPr>
          <w:rFonts w:ascii="Verdana" w:hAnsi="Verdana"/>
          <w:color w:val="000000"/>
        </w:rPr>
        <w:t>points</w:t>
      </w:r>
      <w:r w:rsidR="00C61406">
        <w:rPr>
          <w:rFonts w:ascii="Verdana" w:hAnsi="Verdana"/>
          <w:color w:val="000000"/>
        </w:rPr>
        <w:t xml:space="preserve"> r</w:t>
      </w:r>
      <w:r w:rsidR="00417B40">
        <w:rPr>
          <w:rFonts w:ascii="Verdana" w:hAnsi="Verdana"/>
          <w:color w:val="000000"/>
        </w:rPr>
        <w:t>elated to this most recent TWIST</w:t>
      </w:r>
      <w:r w:rsidR="00C61406">
        <w:rPr>
          <w:rFonts w:ascii="Verdana" w:hAnsi="Verdana"/>
          <w:color w:val="000000"/>
        </w:rPr>
        <w:t xml:space="preserve"> migration.</w:t>
      </w:r>
    </w:p>
    <w:p w:rsidR="009C5719" w:rsidRDefault="009C5719" w:rsidP="00A7373C">
      <w:pPr>
        <w:rPr>
          <w:rFonts w:ascii="Verdana" w:hAnsi="Verdana"/>
          <w:color w:val="000000"/>
        </w:rPr>
      </w:pPr>
    </w:p>
    <w:p w:rsidR="00A155CD" w:rsidRDefault="00A155CD" w:rsidP="00A7373C">
      <w:pPr>
        <w:rPr>
          <w:rFonts w:ascii="Verdana" w:hAnsi="Verdana"/>
          <w:b/>
          <w:color w:val="000000"/>
        </w:rPr>
      </w:pPr>
    </w:p>
    <w:p w:rsidR="009C5719" w:rsidRDefault="009C5719" w:rsidP="00A7373C">
      <w:pPr>
        <w:rPr>
          <w:rFonts w:ascii="Verdana" w:hAnsi="Verdana"/>
          <w:color w:val="000000"/>
        </w:rPr>
      </w:pPr>
      <w:r w:rsidRPr="009C5719">
        <w:rPr>
          <w:rFonts w:ascii="Verdana" w:hAnsi="Verdana"/>
          <w:b/>
          <w:color w:val="000000"/>
        </w:rPr>
        <w:t>Please Note:</w:t>
      </w:r>
      <w:r>
        <w:rPr>
          <w:rFonts w:ascii="Verdana" w:hAnsi="Verdana"/>
          <w:color w:val="000000"/>
        </w:rPr>
        <w:t xml:space="preserve">  No requirements regarding case planning timeframes have changed.  Only the data entry method has </w:t>
      </w:r>
      <w:r w:rsidR="00052AD8">
        <w:rPr>
          <w:rFonts w:ascii="Verdana" w:hAnsi="Verdana"/>
          <w:color w:val="000000"/>
        </w:rPr>
        <w:t>been revised</w:t>
      </w:r>
      <w:r>
        <w:rPr>
          <w:rFonts w:ascii="Verdana" w:hAnsi="Verdana"/>
          <w:color w:val="000000"/>
        </w:rPr>
        <w:t>.</w:t>
      </w:r>
    </w:p>
    <w:p w:rsidR="00C61406" w:rsidRDefault="00C61406" w:rsidP="00A7373C">
      <w:pPr>
        <w:rPr>
          <w:rFonts w:ascii="Verdana" w:hAnsi="Verdana"/>
          <w:color w:val="000000"/>
        </w:rPr>
      </w:pPr>
    </w:p>
    <w:p w:rsidR="00A155CD" w:rsidRDefault="00A155CD" w:rsidP="00A7373C">
      <w:pPr>
        <w:rPr>
          <w:rFonts w:ascii="Verdana" w:hAnsi="Verdana"/>
          <w:color w:val="000000"/>
        </w:rPr>
      </w:pPr>
    </w:p>
    <w:p w:rsidR="00C61406" w:rsidRDefault="00C61406" w:rsidP="00C61406">
      <w:pPr>
        <w:pStyle w:val="ListParagraph"/>
        <w:numPr>
          <w:ilvl w:val="0"/>
          <w:numId w:val="22"/>
        </w:numPr>
        <w:rPr>
          <w:rFonts w:ascii="Verdana" w:hAnsi="Verdana"/>
          <w:color w:val="000000"/>
        </w:rPr>
      </w:pPr>
      <w:r w:rsidRPr="00C61406">
        <w:rPr>
          <w:rFonts w:ascii="Verdana" w:hAnsi="Verdana"/>
          <w:b/>
          <w:color w:val="000000"/>
        </w:rPr>
        <w:t>Case plan migration:</w:t>
      </w:r>
      <w:r>
        <w:rPr>
          <w:rFonts w:ascii="Verdana" w:hAnsi="Verdana"/>
          <w:color w:val="000000"/>
        </w:rPr>
        <w:t xml:space="preserve">  All case plans created after 2007 will be listed on the “</w:t>
      </w:r>
      <w:r w:rsidR="00A155CD">
        <w:rPr>
          <w:rFonts w:ascii="Verdana" w:hAnsi="Verdana"/>
          <w:color w:val="000000"/>
        </w:rPr>
        <w:t>Summary of Case Plans</w:t>
      </w:r>
      <w:r>
        <w:rPr>
          <w:rFonts w:ascii="Verdana" w:hAnsi="Verdana"/>
          <w:color w:val="000000"/>
        </w:rPr>
        <w:t>”</w:t>
      </w:r>
      <w:r w:rsidR="00393707">
        <w:rPr>
          <w:rFonts w:ascii="Verdana" w:hAnsi="Verdana"/>
          <w:color w:val="000000"/>
        </w:rPr>
        <w:t xml:space="preserve"> screen</w:t>
      </w:r>
      <w:r>
        <w:rPr>
          <w:rFonts w:ascii="Verdana" w:hAnsi="Verdana"/>
          <w:color w:val="000000"/>
        </w:rPr>
        <w:t xml:space="preserve"> after the migration.  Whatever stage these case plans were in at t</w:t>
      </w:r>
      <w:r w:rsidR="00F16B3D">
        <w:rPr>
          <w:rFonts w:ascii="Verdana" w:hAnsi="Verdana"/>
          <w:color w:val="000000"/>
        </w:rPr>
        <w:t>he time of the migration is</w:t>
      </w:r>
      <w:r>
        <w:rPr>
          <w:rFonts w:ascii="Verdana" w:hAnsi="Verdana"/>
          <w:color w:val="000000"/>
        </w:rPr>
        <w:t xml:space="preserve"> how they are reflected in the “Current Status” column of this screen.  Staff </w:t>
      </w:r>
      <w:r w:rsidRPr="00C61406">
        <w:rPr>
          <w:rFonts w:ascii="Verdana" w:hAnsi="Verdana"/>
          <w:b/>
          <w:color w:val="000000"/>
        </w:rPr>
        <w:t>will not</w:t>
      </w:r>
      <w:r>
        <w:rPr>
          <w:rFonts w:ascii="Verdana" w:hAnsi="Verdana"/>
          <w:color w:val="000000"/>
        </w:rPr>
        <w:t xml:space="preserve"> be able to edit</w:t>
      </w:r>
      <w:r w:rsidR="00A155CD">
        <w:rPr>
          <w:rFonts w:ascii="Verdana" w:hAnsi="Verdana"/>
          <w:color w:val="000000"/>
        </w:rPr>
        <w:t xml:space="preserve"> any</w:t>
      </w:r>
      <w:r>
        <w:rPr>
          <w:rFonts w:ascii="Verdana" w:hAnsi="Verdana"/>
          <w:color w:val="000000"/>
        </w:rPr>
        <w:t xml:space="preserve"> case plans</w:t>
      </w:r>
      <w:r w:rsidR="00417B40">
        <w:rPr>
          <w:rFonts w:ascii="Verdana" w:hAnsi="Verdana"/>
          <w:color w:val="000000"/>
        </w:rPr>
        <w:t xml:space="preserve"> that are migrated from </w:t>
      </w:r>
      <w:proofErr w:type="spellStart"/>
      <w:r w:rsidR="00417B40">
        <w:rPr>
          <w:rFonts w:ascii="Verdana" w:hAnsi="Verdana"/>
          <w:color w:val="000000"/>
        </w:rPr>
        <w:t>cTWIST</w:t>
      </w:r>
      <w:proofErr w:type="spellEnd"/>
      <w:r>
        <w:rPr>
          <w:rFonts w:ascii="Verdana" w:hAnsi="Verdana"/>
          <w:color w:val="000000"/>
        </w:rPr>
        <w:t xml:space="preserve">; they will only be able to be viewed.   </w:t>
      </w:r>
      <w:r w:rsidR="00A7373C" w:rsidRPr="00C61406">
        <w:rPr>
          <w:rFonts w:ascii="Verdana" w:hAnsi="Verdana"/>
          <w:color w:val="000000"/>
        </w:rPr>
        <w:t xml:space="preserve">  </w:t>
      </w:r>
    </w:p>
    <w:p w:rsidR="00A155CD" w:rsidRDefault="00A155CD" w:rsidP="00A155CD">
      <w:pPr>
        <w:rPr>
          <w:rFonts w:ascii="Verdana" w:hAnsi="Verdana"/>
          <w:color w:val="000000"/>
        </w:rPr>
      </w:pPr>
    </w:p>
    <w:p w:rsidR="00A155CD" w:rsidRDefault="00A155CD" w:rsidP="00A155CD">
      <w:pPr>
        <w:rPr>
          <w:rFonts w:ascii="Verdana" w:hAnsi="Verdana"/>
          <w:color w:val="000000"/>
        </w:rPr>
      </w:pPr>
    </w:p>
    <w:p w:rsidR="00A155CD" w:rsidRDefault="00A155CD" w:rsidP="00A155CD">
      <w:pPr>
        <w:rPr>
          <w:rFonts w:ascii="Verdana" w:hAnsi="Verdana"/>
          <w:color w:val="000000"/>
        </w:rPr>
      </w:pPr>
    </w:p>
    <w:p w:rsidR="00A155CD" w:rsidRDefault="00A155CD" w:rsidP="00A155CD">
      <w:pPr>
        <w:rPr>
          <w:rFonts w:ascii="Verdana" w:hAnsi="Verdana"/>
          <w:color w:val="000000"/>
        </w:rPr>
      </w:pPr>
    </w:p>
    <w:p w:rsidR="00A155CD" w:rsidRDefault="00A155CD" w:rsidP="00A155CD">
      <w:pPr>
        <w:rPr>
          <w:rFonts w:ascii="Verdana" w:hAnsi="Verdana"/>
          <w:color w:val="000000"/>
        </w:rPr>
      </w:pPr>
    </w:p>
    <w:p w:rsidR="00A155CD" w:rsidRDefault="00A155CD" w:rsidP="00A155CD">
      <w:pPr>
        <w:rPr>
          <w:rFonts w:ascii="Verdana" w:hAnsi="Verdana"/>
          <w:color w:val="000000"/>
        </w:rPr>
      </w:pPr>
    </w:p>
    <w:p w:rsidR="00A155CD" w:rsidRDefault="00F16B3D" w:rsidP="00A155CD">
      <w:pPr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7A9D9469" wp14:editId="0A537171">
            <wp:simplePos x="0" y="0"/>
            <wp:positionH relativeFrom="column">
              <wp:posOffset>108585</wp:posOffset>
            </wp:positionH>
            <wp:positionV relativeFrom="paragraph">
              <wp:posOffset>31750</wp:posOffset>
            </wp:positionV>
            <wp:extent cx="6555740" cy="18370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74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5CD" w:rsidRDefault="00A155CD" w:rsidP="00A155CD">
      <w:pPr>
        <w:rPr>
          <w:rFonts w:ascii="Verdana" w:hAnsi="Verdana"/>
          <w:color w:val="000000"/>
        </w:rPr>
      </w:pPr>
    </w:p>
    <w:p w:rsidR="00A155CD" w:rsidRDefault="00A155CD" w:rsidP="00A155CD">
      <w:pPr>
        <w:rPr>
          <w:rFonts w:ascii="Verdana" w:hAnsi="Verdana"/>
          <w:color w:val="000000"/>
        </w:rPr>
      </w:pPr>
    </w:p>
    <w:p w:rsidR="00A155CD" w:rsidRDefault="00A155CD" w:rsidP="00A155CD">
      <w:pPr>
        <w:rPr>
          <w:rFonts w:ascii="Verdana" w:hAnsi="Verdana"/>
          <w:color w:val="000000"/>
        </w:rPr>
      </w:pPr>
    </w:p>
    <w:p w:rsidR="00A155CD" w:rsidRDefault="00A155CD" w:rsidP="00A155CD">
      <w:pPr>
        <w:rPr>
          <w:rFonts w:ascii="Verdana" w:hAnsi="Verdana"/>
          <w:color w:val="000000"/>
        </w:rPr>
      </w:pPr>
    </w:p>
    <w:p w:rsidR="00A155CD" w:rsidRDefault="00A155CD" w:rsidP="00A155CD">
      <w:pPr>
        <w:rPr>
          <w:rFonts w:ascii="Verdana" w:hAnsi="Verdana"/>
          <w:color w:val="000000"/>
        </w:rPr>
      </w:pPr>
    </w:p>
    <w:p w:rsidR="00A155CD" w:rsidRDefault="00A155CD" w:rsidP="00A155CD">
      <w:pPr>
        <w:rPr>
          <w:rFonts w:ascii="Verdana" w:hAnsi="Verdana"/>
          <w:color w:val="000000"/>
        </w:rPr>
      </w:pPr>
    </w:p>
    <w:p w:rsidR="00A155CD" w:rsidRDefault="00A155CD" w:rsidP="00A155CD">
      <w:pPr>
        <w:rPr>
          <w:rFonts w:ascii="Verdana" w:hAnsi="Verdana"/>
          <w:color w:val="000000"/>
        </w:rPr>
      </w:pPr>
    </w:p>
    <w:p w:rsidR="00A155CD" w:rsidRDefault="00A155CD" w:rsidP="00A155CD">
      <w:pPr>
        <w:rPr>
          <w:rFonts w:ascii="Verdana" w:hAnsi="Verdana"/>
          <w:color w:val="000000"/>
        </w:rPr>
      </w:pPr>
    </w:p>
    <w:p w:rsidR="00A155CD" w:rsidRDefault="00A155CD" w:rsidP="00A155CD">
      <w:pPr>
        <w:rPr>
          <w:rFonts w:ascii="Verdana" w:hAnsi="Verdana"/>
          <w:color w:val="000000"/>
        </w:rPr>
      </w:pPr>
    </w:p>
    <w:p w:rsidR="00A155CD" w:rsidRDefault="00A155CD" w:rsidP="00A155CD">
      <w:pPr>
        <w:rPr>
          <w:rFonts w:ascii="Verdana" w:hAnsi="Verdana"/>
          <w:color w:val="000000"/>
        </w:rPr>
      </w:pPr>
    </w:p>
    <w:p w:rsidR="00A155CD" w:rsidRDefault="00A155CD" w:rsidP="00A155CD">
      <w:pPr>
        <w:rPr>
          <w:rFonts w:ascii="Verdana" w:hAnsi="Verdana"/>
          <w:color w:val="000000"/>
        </w:rPr>
      </w:pPr>
    </w:p>
    <w:p w:rsidR="00A155CD" w:rsidRPr="00A155CD" w:rsidRDefault="00A155CD" w:rsidP="00A155CD">
      <w:pPr>
        <w:rPr>
          <w:rFonts w:ascii="Verdana" w:hAnsi="Verdana"/>
          <w:color w:val="000000"/>
        </w:rPr>
      </w:pPr>
    </w:p>
    <w:p w:rsidR="00603F37" w:rsidRDefault="00C61406" w:rsidP="00C61406">
      <w:pPr>
        <w:pStyle w:val="ListParagraph"/>
        <w:numPr>
          <w:ilvl w:val="0"/>
          <w:numId w:val="22"/>
        </w:numPr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Case plan evaluation:  </w:t>
      </w:r>
      <w:r>
        <w:rPr>
          <w:rFonts w:ascii="Verdana" w:hAnsi="Verdana"/>
          <w:color w:val="000000"/>
        </w:rPr>
        <w:t xml:space="preserve">If a case plan was </w:t>
      </w:r>
      <w:r w:rsidR="00A155CD">
        <w:rPr>
          <w:rFonts w:ascii="Verdana" w:hAnsi="Verdana"/>
          <w:color w:val="000000"/>
        </w:rPr>
        <w:t xml:space="preserve">created and </w:t>
      </w:r>
      <w:r w:rsidR="00417B40">
        <w:rPr>
          <w:rFonts w:ascii="Verdana" w:hAnsi="Verdana"/>
          <w:color w:val="000000"/>
        </w:rPr>
        <w:t xml:space="preserve">approved </w:t>
      </w:r>
      <w:r w:rsidR="00BA3922">
        <w:rPr>
          <w:rFonts w:ascii="Verdana" w:hAnsi="Verdana"/>
          <w:color w:val="000000"/>
        </w:rPr>
        <w:t>in</w:t>
      </w:r>
      <w:r w:rsidR="00417B40">
        <w:rPr>
          <w:rFonts w:ascii="Verdana" w:hAnsi="Verdana"/>
          <w:color w:val="000000"/>
        </w:rPr>
        <w:t xml:space="preserve"> </w:t>
      </w:r>
      <w:proofErr w:type="spellStart"/>
      <w:r w:rsidR="00417B40">
        <w:rPr>
          <w:rFonts w:ascii="Verdana" w:hAnsi="Verdana"/>
          <w:color w:val="000000"/>
        </w:rPr>
        <w:t>cTWIST</w:t>
      </w:r>
      <w:proofErr w:type="spellEnd"/>
      <w:r w:rsidR="00A155CD">
        <w:rPr>
          <w:rFonts w:ascii="Verdana" w:hAnsi="Verdana"/>
          <w:color w:val="000000"/>
        </w:rPr>
        <w:t>, when it is time to evaluate it</w:t>
      </w:r>
      <w:r>
        <w:rPr>
          <w:rFonts w:ascii="Verdana" w:hAnsi="Verdana"/>
          <w:color w:val="000000"/>
        </w:rPr>
        <w:t xml:space="preserve">, staff will need to complete the appropriate case plan evaluation template (listed on the </w:t>
      </w:r>
      <w:hyperlink r:id="rId10" w:history="1">
        <w:r w:rsidRPr="00C61406">
          <w:rPr>
            <w:rStyle w:val="Hyperlink"/>
            <w:rFonts w:ascii="Verdana" w:hAnsi="Verdana"/>
          </w:rPr>
          <w:t>Forms browser</w:t>
        </w:r>
      </w:hyperlink>
      <w:r>
        <w:rPr>
          <w:rFonts w:ascii="Verdana" w:hAnsi="Verdana"/>
          <w:color w:val="000000"/>
        </w:rPr>
        <w:t>) and copy and paste this information into “Contacts</w:t>
      </w:r>
      <w:r w:rsidR="00AA2797"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t xml:space="preserve">”  </w:t>
      </w:r>
      <w:r w:rsidR="00603F37">
        <w:rPr>
          <w:rFonts w:ascii="Verdana" w:hAnsi="Verdana"/>
          <w:color w:val="000000"/>
        </w:rPr>
        <w:t>S</w:t>
      </w:r>
      <w:r>
        <w:rPr>
          <w:rFonts w:ascii="Verdana" w:hAnsi="Verdana"/>
          <w:color w:val="000000"/>
        </w:rPr>
        <w:t xml:space="preserve">taff will </w:t>
      </w:r>
      <w:r w:rsidR="009C14E6">
        <w:rPr>
          <w:rFonts w:ascii="Verdana" w:hAnsi="Verdana"/>
          <w:color w:val="000000"/>
        </w:rPr>
        <w:t xml:space="preserve">then </w:t>
      </w:r>
      <w:r>
        <w:rPr>
          <w:rFonts w:ascii="Verdana" w:hAnsi="Verdana"/>
          <w:color w:val="000000"/>
        </w:rPr>
        <w:t>need to</w:t>
      </w:r>
      <w:r w:rsidR="00603F37">
        <w:rPr>
          <w:rFonts w:ascii="Verdana" w:hAnsi="Verdana"/>
          <w:color w:val="000000"/>
        </w:rPr>
        <w:t xml:space="preserve"> create a new case plan, by following the instructions listed in the </w:t>
      </w:r>
      <w:hyperlink r:id="rId11" w:history="1">
        <w:r w:rsidR="00603F37" w:rsidRPr="00603F37">
          <w:rPr>
            <w:rStyle w:val="Hyperlink"/>
            <w:rFonts w:ascii="Verdana" w:hAnsi="Verdana"/>
          </w:rPr>
          <w:t>web based trainings</w:t>
        </w:r>
      </w:hyperlink>
      <w:r w:rsidR="00603F37">
        <w:rPr>
          <w:rFonts w:ascii="Verdana" w:hAnsi="Verdana"/>
          <w:color w:val="000000"/>
        </w:rPr>
        <w:t xml:space="preserve"> for in-hom</w:t>
      </w:r>
      <w:r w:rsidR="009C14E6">
        <w:rPr>
          <w:rFonts w:ascii="Verdana" w:hAnsi="Verdana"/>
          <w:color w:val="000000"/>
        </w:rPr>
        <w:t>e and out of home case planning:</w:t>
      </w:r>
      <w:r w:rsidR="00603F37">
        <w:rPr>
          <w:rFonts w:ascii="Verdana" w:hAnsi="Verdana"/>
          <w:color w:val="000000"/>
        </w:rPr>
        <w:t xml:space="preserve"> </w:t>
      </w:r>
    </w:p>
    <w:p w:rsidR="00603F37" w:rsidRPr="00603F37" w:rsidRDefault="00603F37" w:rsidP="00603F37">
      <w:pPr>
        <w:pStyle w:val="ListParagraph"/>
        <w:numPr>
          <w:ilvl w:val="1"/>
          <w:numId w:val="22"/>
        </w:numPr>
        <w:rPr>
          <w:rFonts w:ascii="Verdana" w:hAnsi="Verdana"/>
          <w:color w:val="000000"/>
        </w:rPr>
      </w:pPr>
      <w:r w:rsidRPr="00603F37">
        <w:rPr>
          <w:rFonts w:ascii="Verdana" w:hAnsi="Verdana"/>
          <w:color w:val="000000"/>
        </w:rPr>
        <w:t>Case Planning Navigation:  In-Home; and</w:t>
      </w:r>
    </w:p>
    <w:p w:rsidR="00A7373C" w:rsidRDefault="00603F37" w:rsidP="00603F37">
      <w:pPr>
        <w:pStyle w:val="ListParagraph"/>
        <w:numPr>
          <w:ilvl w:val="1"/>
          <w:numId w:val="22"/>
        </w:numPr>
        <w:rPr>
          <w:rFonts w:ascii="Verdana" w:hAnsi="Verdana"/>
          <w:color w:val="000000"/>
        </w:rPr>
      </w:pPr>
      <w:r w:rsidRPr="00603F37">
        <w:rPr>
          <w:rFonts w:ascii="Verdana" w:hAnsi="Verdana"/>
          <w:color w:val="000000"/>
        </w:rPr>
        <w:t>Case Planning Navigation:</w:t>
      </w:r>
      <w:r>
        <w:rPr>
          <w:rFonts w:ascii="Verdana" w:hAnsi="Verdana"/>
          <w:color w:val="000000"/>
        </w:rPr>
        <w:t xml:space="preserve">  OOHC</w:t>
      </w:r>
      <w:r w:rsidR="009C14E6">
        <w:rPr>
          <w:rFonts w:ascii="Verdana" w:hAnsi="Verdana"/>
          <w:color w:val="000000"/>
        </w:rPr>
        <w:t>.</w:t>
      </w:r>
      <w:r w:rsidR="00C61406">
        <w:rPr>
          <w:rFonts w:ascii="Verdana" w:hAnsi="Verdana"/>
          <w:color w:val="000000"/>
        </w:rPr>
        <w:t xml:space="preserve">   </w:t>
      </w:r>
      <w:r w:rsidR="00A7373C" w:rsidRPr="00C61406">
        <w:rPr>
          <w:rFonts w:ascii="Verdana" w:hAnsi="Verdana"/>
          <w:color w:val="000000"/>
        </w:rPr>
        <w:t xml:space="preserve"> </w:t>
      </w:r>
    </w:p>
    <w:p w:rsidR="00A155CD" w:rsidRDefault="00A155CD" w:rsidP="00A155CD">
      <w:pPr>
        <w:ind w:left="72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Staff can </w:t>
      </w:r>
      <w:r w:rsidR="00AA2797" w:rsidRPr="00417B40">
        <w:rPr>
          <w:rFonts w:ascii="Verdana" w:hAnsi="Verdana"/>
          <w:color w:val="000000" w:themeColor="text1"/>
        </w:rPr>
        <w:t>choose to reenter an existing</w:t>
      </w:r>
      <w:r w:rsidR="00417B40">
        <w:rPr>
          <w:rFonts w:ascii="Verdana" w:hAnsi="Verdana"/>
          <w:color w:val="000000" w:themeColor="text1"/>
        </w:rPr>
        <w:t xml:space="preserve"> case plan after the </w:t>
      </w:r>
      <w:proofErr w:type="spellStart"/>
      <w:r w:rsidR="00417B40">
        <w:rPr>
          <w:rFonts w:ascii="Verdana" w:hAnsi="Verdana"/>
          <w:color w:val="000000" w:themeColor="text1"/>
        </w:rPr>
        <w:t>iTWIST</w:t>
      </w:r>
      <w:proofErr w:type="spellEnd"/>
      <w:r w:rsidR="00417B40">
        <w:rPr>
          <w:rFonts w:ascii="Verdana" w:hAnsi="Verdana"/>
          <w:color w:val="000000" w:themeColor="text1"/>
        </w:rPr>
        <w:t xml:space="preserve"> migration</w:t>
      </w:r>
      <w:r w:rsidR="00417B40" w:rsidRPr="00417B40">
        <w:rPr>
          <w:rFonts w:ascii="Verdana" w:hAnsi="Verdana"/>
          <w:color w:val="000000" w:themeColor="text1"/>
        </w:rPr>
        <w:t>.  This will allow them complete</w:t>
      </w:r>
      <w:r w:rsidR="00AA2797" w:rsidRPr="00417B40">
        <w:rPr>
          <w:rFonts w:ascii="Verdana" w:hAnsi="Verdana"/>
          <w:color w:val="000000" w:themeColor="text1"/>
        </w:rPr>
        <w:t xml:space="preserve"> the case plan evaluation, when it is due, using the new </w:t>
      </w:r>
      <w:proofErr w:type="spellStart"/>
      <w:r w:rsidR="00AA2797" w:rsidRPr="00417B40">
        <w:rPr>
          <w:rFonts w:ascii="Verdana" w:hAnsi="Verdana"/>
          <w:color w:val="000000" w:themeColor="text1"/>
        </w:rPr>
        <w:t>iTWIST</w:t>
      </w:r>
      <w:proofErr w:type="spellEnd"/>
      <w:r w:rsidR="00AA2797" w:rsidRPr="00417B40">
        <w:rPr>
          <w:rFonts w:ascii="Verdana" w:hAnsi="Verdana"/>
          <w:color w:val="000000" w:themeColor="text1"/>
        </w:rPr>
        <w:t xml:space="preserve"> screens.</w:t>
      </w:r>
      <w:r w:rsidR="00AA2797">
        <w:rPr>
          <w:rFonts w:ascii="Verdana" w:hAnsi="Verdana"/>
          <w:b/>
          <w:color w:val="FF0000"/>
        </w:rPr>
        <w:t xml:space="preserve">  </w:t>
      </w:r>
      <w:r>
        <w:rPr>
          <w:rFonts w:ascii="Verdana" w:hAnsi="Verdana"/>
          <w:color w:val="000000"/>
        </w:rPr>
        <w:t xml:space="preserve">This will not skew the timing of the case plan completion because it is possible to insert in the original date of creation in </w:t>
      </w:r>
      <w:proofErr w:type="spellStart"/>
      <w:r w:rsidR="00AA2797">
        <w:rPr>
          <w:rFonts w:ascii="Verdana" w:hAnsi="Verdana"/>
          <w:color w:val="000000"/>
        </w:rPr>
        <w:t>iTWIST</w:t>
      </w:r>
      <w:proofErr w:type="spellEnd"/>
      <w:r>
        <w:rPr>
          <w:rFonts w:ascii="Verdana" w:hAnsi="Verdana"/>
          <w:color w:val="000000"/>
        </w:rPr>
        <w:t xml:space="preserve"> by inserting the </w:t>
      </w:r>
      <w:r w:rsidR="00AA2797" w:rsidRPr="00417B40">
        <w:rPr>
          <w:rFonts w:ascii="Verdana" w:hAnsi="Verdana"/>
          <w:color w:val="000000" w:themeColor="text1"/>
        </w:rPr>
        <w:t>true</w:t>
      </w:r>
      <w:r w:rsidR="00AA2797" w:rsidRPr="00AA2797">
        <w:rPr>
          <w:rFonts w:ascii="Verdana" w:hAnsi="Verdana"/>
          <w:b/>
          <w:color w:val="FF0000"/>
        </w:rPr>
        <w:t xml:space="preserve"> </w:t>
      </w:r>
      <w:r>
        <w:rPr>
          <w:rFonts w:ascii="Verdana" w:hAnsi="Verdana"/>
          <w:color w:val="000000"/>
        </w:rPr>
        <w:t>conference date in the “Date of Case Plan Conference” field on the “Case Plan Information” screen.</w:t>
      </w:r>
    </w:p>
    <w:p w:rsidR="00A155CD" w:rsidRDefault="00A155CD" w:rsidP="00A155CD">
      <w:pPr>
        <w:ind w:left="720"/>
        <w:rPr>
          <w:rFonts w:ascii="Verdana" w:hAnsi="Verdana"/>
          <w:color w:val="000000"/>
        </w:rPr>
      </w:pPr>
    </w:p>
    <w:p w:rsidR="00A155CD" w:rsidRDefault="00A155CD" w:rsidP="00A155CD">
      <w:pPr>
        <w:ind w:left="720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454014</wp:posOffset>
            </wp:positionH>
            <wp:positionV relativeFrom="paragraph">
              <wp:posOffset>-3702</wp:posOffset>
            </wp:positionV>
            <wp:extent cx="6280030" cy="2700068"/>
            <wp:effectExtent l="0" t="0" r="6985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918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5CD" w:rsidRDefault="00A155CD" w:rsidP="00A155CD">
      <w:pPr>
        <w:ind w:left="720"/>
        <w:rPr>
          <w:rFonts w:ascii="Verdana" w:hAnsi="Verdana"/>
          <w:color w:val="000000"/>
        </w:rPr>
      </w:pPr>
    </w:p>
    <w:p w:rsidR="00A155CD" w:rsidRDefault="00A155CD" w:rsidP="00A155CD">
      <w:pPr>
        <w:ind w:left="720"/>
        <w:rPr>
          <w:rFonts w:ascii="Verdana" w:hAnsi="Verdana"/>
          <w:color w:val="000000"/>
        </w:rPr>
      </w:pPr>
    </w:p>
    <w:p w:rsidR="00A155CD" w:rsidRDefault="00A155CD" w:rsidP="00A155CD">
      <w:pPr>
        <w:ind w:left="720"/>
        <w:rPr>
          <w:rFonts w:ascii="Verdana" w:hAnsi="Verdana"/>
          <w:color w:val="000000"/>
        </w:rPr>
      </w:pPr>
    </w:p>
    <w:p w:rsidR="00A155CD" w:rsidRDefault="00A155CD" w:rsidP="00A155CD">
      <w:pPr>
        <w:ind w:left="720"/>
        <w:rPr>
          <w:rFonts w:ascii="Verdana" w:hAnsi="Verdana"/>
          <w:color w:val="000000"/>
        </w:rPr>
      </w:pPr>
    </w:p>
    <w:p w:rsidR="00A155CD" w:rsidRDefault="00A155CD" w:rsidP="00A155CD">
      <w:pPr>
        <w:ind w:left="720"/>
        <w:rPr>
          <w:rFonts w:ascii="Verdana" w:hAnsi="Verdana"/>
          <w:color w:val="000000"/>
        </w:rPr>
      </w:pPr>
    </w:p>
    <w:p w:rsidR="00A155CD" w:rsidRDefault="00A155CD" w:rsidP="00A155CD">
      <w:pPr>
        <w:ind w:left="720"/>
        <w:rPr>
          <w:rFonts w:ascii="Verdana" w:hAnsi="Verdana"/>
          <w:color w:val="000000"/>
        </w:rPr>
      </w:pPr>
    </w:p>
    <w:p w:rsidR="00A155CD" w:rsidRDefault="00A155CD" w:rsidP="00A155CD">
      <w:pPr>
        <w:ind w:left="720"/>
        <w:rPr>
          <w:rFonts w:ascii="Verdana" w:hAnsi="Verdana"/>
          <w:color w:val="000000"/>
        </w:rPr>
      </w:pPr>
    </w:p>
    <w:p w:rsidR="00A155CD" w:rsidRDefault="00A155CD" w:rsidP="00A155CD">
      <w:pPr>
        <w:ind w:left="720"/>
        <w:rPr>
          <w:rFonts w:ascii="Verdana" w:hAnsi="Verdana"/>
          <w:color w:val="000000"/>
        </w:rPr>
      </w:pPr>
    </w:p>
    <w:p w:rsidR="00A155CD" w:rsidRDefault="00A155CD" w:rsidP="00A155CD">
      <w:pPr>
        <w:ind w:left="720"/>
        <w:rPr>
          <w:rFonts w:ascii="Verdana" w:hAnsi="Verdana"/>
          <w:color w:val="000000"/>
        </w:rPr>
      </w:pPr>
    </w:p>
    <w:p w:rsidR="00A155CD" w:rsidRDefault="00A155CD" w:rsidP="00A155CD">
      <w:pPr>
        <w:ind w:left="720"/>
        <w:rPr>
          <w:rFonts w:ascii="Verdana" w:hAnsi="Verdana"/>
          <w:color w:val="000000"/>
        </w:rPr>
      </w:pPr>
    </w:p>
    <w:p w:rsidR="00A155CD" w:rsidRDefault="00A155CD" w:rsidP="00A155CD">
      <w:pPr>
        <w:ind w:left="720"/>
        <w:rPr>
          <w:rFonts w:ascii="Verdana" w:hAnsi="Verdana"/>
          <w:color w:val="000000"/>
        </w:rPr>
      </w:pPr>
    </w:p>
    <w:p w:rsidR="00A155CD" w:rsidRDefault="00A155CD" w:rsidP="00A155CD">
      <w:pPr>
        <w:ind w:left="720"/>
        <w:rPr>
          <w:rFonts w:ascii="Verdana" w:hAnsi="Verdana"/>
          <w:color w:val="000000"/>
        </w:rPr>
      </w:pPr>
    </w:p>
    <w:p w:rsidR="00A155CD" w:rsidRDefault="00A155CD" w:rsidP="00A155CD">
      <w:pPr>
        <w:ind w:left="720"/>
        <w:rPr>
          <w:rFonts w:ascii="Verdana" w:hAnsi="Verdana"/>
          <w:color w:val="000000"/>
        </w:rPr>
      </w:pPr>
    </w:p>
    <w:p w:rsidR="00A155CD" w:rsidRDefault="00A155CD" w:rsidP="00A155CD">
      <w:pPr>
        <w:ind w:left="720"/>
        <w:rPr>
          <w:rFonts w:ascii="Verdana" w:hAnsi="Verdana"/>
          <w:color w:val="000000"/>
        </w:rPr>
      </w:pPr>
    </w:p>
    <w:p w:rsidR="00A155CD" w:rsidRDefault="00A155CD" w:rsidP="00A155CD">
      <w:pPr>
        <w:ind w:left="720"/>
        <w:rPr>
          <w:rFonts w:ascii="Verdana" w:hAnsi="Verdana"/>
          <w:color w:val="000000"/>
        </w:rPr>
      </w:pPr>
    </w:p>
    <w:p w:rsidR="00A155CD" w:rsidRDefault="00A155CD" w:rsidP="00AE215C">
      <w:pPr>
        <w:rPr>
          <w:rFonts w:ascii="Verdana" w:hAnsi="Verdana"/>
          <w:color w:val="000000"/>
        </w:rPr>
      </w:pPr>
    </w:p>
    <w:p w:rsidR="00A155CD" w:rsidRDefault="00A155CD" w:rsidP="00A155CD">
      <w:pPr>
        <w:ind w:left="72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</w:t>
      </w:r>
    </w:p>
    <w:p w:rsidR="00F16B3D" w:rsidRDefault="00F16B3D" w:rsidP="00A155CD">
      <w:pPr>
        <w:ind w:left="720"/>
        <w:rPr>
          <w:rFonts w:ascii="Verdana" w:hAnsi="Verdana"/>
          <w:color w:val="000000"/>
        </w:rPr>
      </w:pPr>
    </w:p>
    <w:p w:rsidR="00F16B3D" w:rsidRDefault="00F16B3D" w:rsidP="00A155CD">
      <w:pPr>
        <w:ind w:left="720"/>
        <w:rPr>
          <w:rFonts w:ascii="Verdana" w:hAnsi="Verdana"/>
          <w:color w:val="000000"/>
        </w:rPr>
      </w:pPr>
    </w:p>
    <w:p w:rsidR="00F16B3D" w:rsidRDefault="00F16B3D" w:rsidP="00A155CD">
      <w:pPr>
        <w:ind w:left="720"/>
        <w:rPr>
          <w:rFonts w:ascii="Verdana" w:hAnsi="Verdana"/>
          <w:color w:val="000000"/>
        </w:rPr>
      </w:pPr>
    </w:p>
    <w:p w:rsidR="00F16B3D" w:rsidRPr="00A155CD" w:rsidRDefault="00F16B3D" w:rsidP="00A155CD">
      <w:pPr>
        <w:ind w:left="720"/>
        <w:rPr>
          <w:rFonts w:ascii="Verdana" w:hAnsi="Verdana"/>
          <w:color w:val="000000"/>
        </w:rPr>
      </w:pPr>
    </w:p>
    <w:p w:rsidR="009C14E6" w:rsidRPr="00BA3922" w:rsidRDefault="009C14E6" w:rsidP="009C14E6">
      <w:pPr>
        <w:pStyle w:val="ListParagraph"/>
        <w:numPr>
          <w:ilvl w:val="0"/>
          <w:numId w:val="22"/>
        </w:numPr>
        <w:rPr>
          <w:rFonts w:ascii="Verdana" w:hAnsi="Verdana"/>
          <w:b/>
          <w:color w:val="000000"/>
        </w:rPr>
      </w:pPr>
      <w:r w:rsidRPr="009C14E6">
        <w:rPr>
          <w:rFonts w:ascii="Verdana" w:hAnsi="Verdana"/>
          <w:b/>
          <w:color w:val="000000"/>
        </w:rPr>
        <w:lastRenderedPageBreak/>
        <w:t>Linking an assessment to the case plan:</w:t>
      </w:r>
      <w:r w:rsidR="00BA3922">
        <w:rPr>
          <w:rFonts w:ascii="Verdana" w:hAnsi="Verdana"/>
          <w:color w:val="000000"/>
        </w:rPr>
        <w:t xml:space="preserve">  O</w:t>
      </w:r>
      <w:r>
        <w:rPr>
          <w:rFonts w:ascii="Verdana" w:hAnsi="Verdana"/>
          <w:color w:val="000000"/>
        </w:rPr>
        <w:t xml:space="preserve">n the </w:t>
      </w:r>
      <w:r w:rsidR="00BA3922">
        <w:rPr>
          <w:rFonts w:ascii="Verdana" w:hAnsi="Verdana"/>
          <w:color w:val="000000"/>
        </w:rPr>
        <w:t xml:space="preserve">“FLO/ILO Objectives and Tasks” screen, </w:t>
      </w:r>
      <w:r w:rsidR="00AA2797">
        <w:rPr>
          <w:rFonts w:ascii="Verdana" w:hAnsi="Verdana"/>
          <w:color w:val="000000"/>
        </w:rPr>
        <w:t xml:space="preserve">staff will be able to link </w:t>
      </w:r>
      <w:r w:rsidR="00AA2797" w:rsidRPr="00417B40">
        <w:rPr>
          <w:rFonts w:ascii="Verdana" w:hAnsi="Verdana"/>
          <w:color w:val="000000" w:themeColor="text1"/>
        </w:rPr>
        <w:t xml:space="preserve">new </w:t>
      </w:r>
      <w:r w:rsidRPr="00417B40">
        <w:rPr>
          <w:rFonts w:ascii="Verdana" w:hAnsi="Verdana"/>
          <w:color w:val="000000" w:themeColor="text1"/>
        </w:rPr>
        <w:t>case plan</w:t>
      </w:r>
      <w:r w:rsidR="00AA2797" w:rsidRPr="00417B40">
        <w:rPr>
          <w:rFonts w:ascii="Verdana" w:hAnsi="Verdana"/>
          <w:color w:val="000000" w:themeColor="text1"/>
        </w:rPr>
        <w:t>s</w:t>
      </w:r>
      <w:r w:rsidRPr="00417B40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/>
        </w:rPr>
        <w:t xml:space="preserve">to the </w:t>
      </w:r>
      <w:r w:rsidR="00AA2797" w:rsidRPr="00417B40">
        <w:rPr>
          <w:rFonts w:ascii="Verdana" w:hAnsi="Verdana"/>
          <w:color w:val="000000" w:themeColor="text1"/>
        </w:rPr>
        <w:t xml:space="preserve">investigative </w:t>
      </w:r>
      <w:r>
        <w:rPr>
          <w:rFonts w:ascii="Verdana" w:hAnsi="Verdana"/>
          <w:color w:val="000000"/>
        </w:rPr>
        <w:t xml:space="preserve">assessment that </w:t>
      </w:r>
      <w:r w:rsidR="00AA2797">
        <w:rPr>
          <w:rFonts w:ascii="Verdana" w:hAnsi="Verdana"/>
          <w:color w:val="000000"/>
        </w:rPr>
        <w:t xml:space="preserve">opened the case.  </w:t>
      </w:r>
      <w:r w:rsidR="00393707">
        <w:rPr>
          <w:rFonts w:ascii="Verdana" w:hAnsi="Verdana"/>
          <w:color w:val="000000"/>
        </w:rPr>
        <w:t>It is imperative</w:t>
      </w:r>
      <w:r>
        <w:rPr>
          <w:rFonts w:ascii="Verdana" w:hAnsi="Verdana"/>
          <w:color w:val="000000"/>
        </w:rPr>
        <w:t xml:space="preserve"> that staff choose the correct assessment when completing this step; otherwise, the correct objectives will not populate.  Once the correct assessment</w:t>
      </w:r>
      <w:r w:rsidR="00393707">
        <w:rPr>
          <w:rFonts w:ascii="Verdana" w:hAnsi="Verdana"/>
          <w:color w:val="000000"/>
        </w:rPr>
        <w:t xml:space="preserve"> has been chosen</w:t>
      </w:r>
      <w:r>
        <w:rPr>
          <w:rFonts w:ascii="Verdana" w:hAnsi="Verdana"/>
          <w:color w:val="000000"/>
        </w:rPr>
        <w:t xml:space="preserve">, the case plan will always be linked to it.  </w:t>
      </w:r>
    </w:p>
    <w:p w:rsidR="00BA3922" w:rsidRDefault="00BA3922" w:rsidP="00BA3922">
      <w:pPr>
        <w:pStyle w:val="ListParagrap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454014</wp:posOffset>
            </wp:positionH>
            <wp:positionV relativeFrom="paragraph">
              <wp:posOffset>131433</wp:posOffset>
            </wp:positionV>
            <wp:extent cx="6357668" cy="2198950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936" cy="21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922" w:rsidRDefault="00BA3922" w:rsidP="00BA3922">
      <w:pPr>
        <w:pStyle w:val="ListParagraph"/>
        <w:rPr>
          <w:rFonts w:ascii="Verdana" w:hAnsi="Verdana"/>
          <w:b/>
          <w:color w:val="000000"/>
        </w:rPr>
      </w:pPr>
    </w:p>
    <w:p w:rsidR="00BA3922" w:rsidRDefault="00BA3922" w:rsidP="00BA3922">
      <w:pPr>
        <w:pStyle w:val="ListParagraph"/>
        <w:rPr>
          <w:rFonts w:ascii="Verdana" w:hAnsi="Verdana"/>
          <w:b/>
          <w:color w:val="000000"/>
        </w:rPr>
      </w:pPr>
    </w:p>
    <w:p w:rsidR="00BA3922" w:rsidRDefault="00BA3922" w:rsidP="00BA3922">
      <w:pPr>
        <w:pStyle w:val="ListParagraph"/>
        <w:rPr>
          <w:rFonts w:ascii="Verdana" w:hAnsi="Verdana"/>
          <w:b/>
          <w:color w:val="000000"/>
        </w:rPr>
      </w:pPr>
    </w:p>
    <w:p w:rsidR="00BA3922" w:rsidRDefault="00BA3922" w:rsidP="00BA3922">
      <w:pPr>
        <w:pStyle w:val="ListParagraph"/>
        <w:rPr>
          <w:rFonts w:ascii="Verdana" w:hAnsi="Verdana"/>
          <w:b/>
          <w:color w:val="000000"/>
        </w:rPr>
      </w:pPr>
    </w:p>
    <w:p w:rsidR="00BA3922" w:rsidRDefault="00BA3922" w:rsidP="00BA3922">
      <w:pPr>
        <w:pStyle w:val="ListParagraph"/>
        <w:rPr>
          <w:rFonts w:ascii="Verdana" w:hAnsi="Verdana"/>
          <w:b/>
          <w:color w:val="000000"/>
        </w:rPr>
      </w:pPr>
    </w:p>
    <w:p w:rsidR="00BA3922" w:rsidRDefault="00BA3922" w:rsidP="00BA3922">
      <w:pPr>
        <w:pStyle w:val="ListParagraph"/>
        <w:rPr>
          <w:rFonts w:ascii="Verdana" w:hAnsi="Verdana"/>
          <w:b/>
          <w:color w:val="000000"/>
        </w:rPr>
      </w:pPr>
    </w:p>
    <w:p w:rsidR="00BA3922" w:rsidRDefault="00BA3922" w:rsidP="00BA3922">
      <w:pPr>
        <w:pStyle w:val="ListParagraph"/>
        <w:rPr>
          <w:rFonts w:ascii="Verdana" w:hAnsi="Verdana"/>
          <w:b/>
          <w:color w:val="000000"/>
        </w:rPr>
      </w:pPr>
    </w:p>
    <w:p w:rsidR="00BA3922" w:rsidRDefault="00BA3922" w:rsidP="00BA3922">
      <w:pPr>
        <w:pStyle w:val="ListParagraph"/>
        <w:rPr>
          <w:rFonts w:ascii="Verdana" w:hAnsi="Verdana"/>
          <w:b/>
          <w:color w:val="000000"/>
        </w:rPr>
      </w:pPr>
    </w:p>
    <w:p w:rsidR="00BA3922" w:rsidRDefault="00BA3922" w:rsidP="00BA3922">
      <w:pPr>
        <w:pStyle w:val="ListParagraph"/>
        <w:rPr>
          <w:rFonts w:ascii="Verdana" w:hAnsi="Verdana"/>
          <w:b/>
          <w:color w:val="000000"/>
        </w:rPr>
      </w:pPr>
    </w:p>
    <w:p w:rsidR="00BA3922" w:rsidRDefault="00BA3922" w:rsidP="00BA3922">
      <w:pPr>
        <w:pStyle w:val="ListParagraph"/>
        <w:rPr>
          <w:rFonts w:ascii="Verdana" w:hAnsi="Verdana"/>
          <w:b/>
          <w:color w:val="000000"/>
        </w:rPr>
      </w:pPr>
    </w:p>
    <w:p w:rsidR="00BA3922" w:rsidRDefault="00BA3922" w:rsidP="00BA3922">
      <w:pPr>
        <w:pStyle w:val="ListParagraph"/>
        <w:rPr>
          <w:rFonts w:ascii="Verdana" w:hAnsi="Verdana"/>
          <w:b/>
          <w:color w:val="000000"/>
        </w:rPr>
      </w:pPr>
    </w:p>
    <w:p w:rsidR="00BA3922" w:rsidRPr="00BA3922" w:rsidRDefault="00BA3922" w:rsidP="00BA3922">
      <w:pPr>
        <w:rPr>
          <w:rFonts w:ascii="Verdana" w:hAnsi="Verdana"/>
          <w:b/>
          <w:color w:val="000000"/>
        </w:rPr>
      </w:pPr>
    </w:p>
    <w:p w:rsidR="00BA3922" w:rsidRDefault="00C04953" w:rsidP="009C14E6">
      <w:pPr>
        <w:pStyle w:val="ListParagraph"/>
        <w:numPr>
          <w:ilvl w:val="0"/>
          <w:numId w:val="22"/>
        </w:numPr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>Case plan deletion:</w:t>
      </w:r>
      <w:r>
        <w:rPr>
          <w:rFonts w:ascii="Verdana" w:hAnsi="Verdana"/>
          <w:color w:val="000000"/>
        </w:rPr>
        <w:t xml:space="preserve">  Staff can delete a </w:t>
      </w:r>
      <w:r w:rsidR="00393707">
        <w:rPr>
          <w:rFonts w:ascii="Verdana" w:hAnsi="Verdana"/>
          <w:color w:val="000000"/>
        </w:rPr>
        <w:t xml:space="preserve">case plan </w:t>
      </w:r>
      <w:r w:rsidR="00AA2797" w:rsidRPr="00417B40">
        <w:rPr>
          <w:rFonts w:ascii="Verdana" w:hAnsi="Verdana"/>
          <w:color w:val="000000" w:themeColor="text1"/>
        </w:rPr>
        <w:t>if it has not been</w:t>
      </w:r>
      <w:r w:rsidRPr="00417B40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/>
        </w:rPr>
        <w:t>approved by the FSOS.</w:t>
      </w:r>
      <w:r w:rsidR="00BA3922">
        <w:rPr>
          <w:rFonts w:ascii="Verdana" w:hAnsi="Verdana"/>
          <w:color w:val="000000"/>
        </w:rPr>
        <w:t xml:space="preserve">  This can be done by choosing “Edit/View” on the “Summary of Case Plans” screen, then checking the following box and clicking “Save”: </w:t>
      </w:r>
    </w:p>
    <w:p w:rsidR="00BA3922" w:rsidRDefault="00BA3922" w:rsidP="00BA3922">
      <w:pPr>
        <w:pStyle w:val="ListParagrap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31EA758A" wp14:editId="0AABFF62">
            <wp:simplePos x="0" y="0"/>
            <wp:positionH relativeFrom="column">
              <wp:posOffset>402255</wp:posOffset>
            </wp:positionH>
            <wp:positionV relativeFrom="paragraph">
              <wp:posOffset>88780</wp:posOffset>
            </wp:positionV>
            <wp:extent cx="6409426" cy="765209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14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922" w:rsidRDefault="00BA3922" w:rsidP="00BA3922">
      <w:pPr>
        <w:pStyle w:val="ListParagraph"/>
        <w:rPr>
          <w:rFonts w:ascii="Verdana" w:hAnsi="Verdana"/>
          <w:b/>
          <w:color w:val="000000"/>
        </w:rPr>
      </w:pPr>
    </w:p>
    <w:p w:rsidR="00BA3922" w:rsidRDefault="00BA3922" w:rsidP="00BA3922">
      <w:pPr>
        <w:pStyle w:val="ListParagraph"/>
        <w:rPr>
          <w:rFonts w:ascii="Verdana" w:hAnsi="Verdana"/>
          <w:b/>
          <w:color w:val="000000"/>
        </w:rPr>
      </w:pPr>
    </w:p>
    <w:p w:rsidR="00BA3922" w:rsidRDefault="00BA3922" w:rsidP="00BA3922">
      <w:pPr>
        <w:pStyle w:val="ListParagraph"/>
        <w:rPr>
          <w:rFonts w:ascii="Verdana" w:hAnsi="Verdana"/>
          <w:b/>
          <w:color w:val="000000"/>
        </w:rPr>
      </w:pPr>
    </w:p>
    <w:p w:rsidR="00E31138" w:rsidRDefault="00E31138" w:rsidP="00BA3922">
      <w:pPr>
        <w:rPr>
          <w:rFonts w:ascii="Verdana" w:eastAsia="Calibri" w:hAnsi="Verdana"/>
          <w:b/>
          <w:color w:val="000000"/>
          <w:szCs w:val="22"/>
        </w:rPr>
      </w:pPr>
    </w:p>
    <w:p w:rsidR="00BA3922" w:rsidRPr="00BA3922" w:rsidRDefault="00BA3922" w:rsidP="00BA3922">
      <w:pPr>
        <w:rPr>
          <w:rFonts w:ascii="Verdana" w:hAnsi="Verdana"/>
          <w:color w:val="000000"/>
        </w:rPr>
      </w:pPr>
    </w:p>
    <w:p w:rsidR="00C04953" w:rsidRDefault="00BA3922" w:rsidP="009C14E6">
      <w:pPr>
        <w:pStyle w:val="ListParagraph"/>
        <w:numPr>
          <w:ilvl w:val="0"/>
          <w:numId w:val="22"/>
        </w:numPr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734DDCB4" wp14:editId="0D18CA66">
            <wp:simplePos x="0" y="0"/>
            <wp:positionH relativeFrom="column">
              <wp:posOffset>402256</wp:posOffset>
            </wp:positionH>
            <wp:positionV relativeFrom="paragraph">
              <wp:posOffset>687058</wp:posOffset>
            </wp:positionV>
            <wp:extent cx="6409426" cy="1889108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483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53">
        <w:rPr>
          <w:rFonts w:ascii="Verdana" w:hAnsi="Verdana"/>
          <w:b/>
          <w:color w:val="000000"/>
        </w:rPr>
        <w:t>Close case option:</w:t>
      </w:r>
      <w:r w:rsidR="00C04953">
        <w:rPr>
          <w:rFonts w:ascii="Verdana" w:hAnsi="Verdana"/>
          <w:color w:val="000000"/>
        </w:rPr>
        <w:t xml:space="preserve">  Choosing “Close Case” on the </w:t>
      </w:r>
      <w:r w:rsidR="00393707">
        <w:rPr>
          <w:rFonts w:ascii="Verdana" w:hAnsi="Verdana"/>
          <w:color w:val="000000"/>
        </w:rPr>
        <w:t>“Case Results” screen</w:t>
      </w:r>
      <w:r w:rsidR="00C71AEE">
        <w:rPr>
          <w:rFonts w:ascii="Verdana" w:hAnsi="Verdana"/>
          <w:color w:val="000000"/>
        </w:rPr>
        <w:t xml:space="preserve"> does not </w:t>
      </w:r>
      <w:r w:rsidR="00AA2797" w:rsidRPr="00417B40">
        <w:rPr>
          <w:rFonts w:ascii="Verdana" w:hAnsi="Verdana"/>
          <w:color w:val="000000" w:themeColor="text1"/>
        </w:rPr>
        <w:t>result in</w:t>
      </w:r>
      <w:r w:rsidR="00C04953">
        <w:rPr>
          <w:rFonts w:ascii="Verdana" w:hAnsi="Verdana"/>
          <w:color w:val="000000"/>
        </w:rPr>
        <w:t xml:space="preserve"> case </w:t>
      </w:r>
      <w:r w:rsidR="00C04953" w:rsidRPr="00417B40">
        <w:rPr>
          <w:rFonts w:ascii="Verdana" w:hAnsi="Verdana"/>
          <w:color w:val="000000" w:themeColor="text1"/>
        </w:rPr>
        <w:t>clos</w:t>
      </w:r>
      <w:r w:rsidR="00AA2797" w:rsidRPr="00417B40">
        <w:rPr>
          <w:rFonts w:ascii="Verdana" w:hAnsi="Verdana"/>
          <w:color w:val="000000" w:themeColor="text1"/>
        </w:rPr>
        <w:t xml:space="preserve">ure in </w:t>
      </w:r>
      <w:proofErr w:type="spellStart"/>
      <w:r w:rsidR="00AA2797" w:rsidRPr="00417B40">
        <w:rPr>
          <w:rFonts w:ascii="Verdana" w:hAnsi="Verdana"/>
          <w:color w:val="000000" w:themeColor="text1"/>
        </w:rPr>
        <w:t>iTWIST</w:t>
      </w:r>
      <w:proofErr w:type="spellEnd"/>
      <w:r w:rsidR="00AA2797">
        <w:rPr>
          <w:rFonts w:ascii="Verdana" w:hAnsi="Verdana"/>
          <w:color w:val="000000"/>
        </w:rPr>
        <w:t>.</w:t>
      </w:r>
      <w:r w:rsidR="00C04953">
        <w:rPr>
          <w:rFonts w:ascii="Verdana" w:hAnsi="Verdana"/>
          <w:color w:val="000000"/>
        </w:rPr>
        <w:t xml:space="preserve">  The SSW will still have to complete all other tasks associate with case closure prior to the case being closed. </w:t>
      </w:r>
    </w:p>
    <w:p w:rsidR="00BA3922" w:rsidRDefault="00BA3922" w:rsidP="00BA3922">
      <w:pPr>
        <w:rPr>
          <w:rFonts w:ascii="Verdana" w:hAnsi="Verdana"/>
          <w:color w:val="000000"/>
        </w:rPr>
      </w:pPr>
    </w:p>
    <w:p w:rsidR="00BA3922" w:rsidRDefault="00BA3922" w:rsidP="00BA3922">
      <w:pPr>
        <w:rPr>
          <w:rFonts w:ascii="Verdana" w:hAnsi="Verdana"/>
          <w:color w:val="000000"/>
        </w:rPr>
      </w:pPr>
    </w:p>
    <w:p w:rsidR="00BA3922" w:rsidRDefault="00BA3922" w:rsidP="00BA3922">
      <w:pPr>
        <w:rPr>
          <w:rFonts w:ascii="Verdana" w:hAnsi="Verdana"/>
          <w:color w:val="000000"/>
        </w:rPr>
      </w:pPr>
    </w:p>
    <w:p w:rsidR="00BA3922" w:rsidRDefault="00BA3922" w:rsidP="00BA3922">
      <w:pPr>
        <w:rPr>
          <w:rFonts w:ascii="Verdana" w:hAnsi="Verdana"/>
          <w:color w:val="000000"/>
        </w:rPr>
      </w:pPr>
    </w:p>
    <w:p w:rsidR="00BA3922" w:rsidRDefault="00BA3922" w:rsidP="00BA3922">
      <w:pPr>
        <w:rPr>
          <w:rFonts w:ascii="Verdana" w:hAnsi="Verdana"/>
          <w:color w:val="000000"/>
        </w:rPr>
      </w:pPr>
    </w:p>
    <w:p w:rsidR="00BA3922" w:rsidRDefault="00BA3922" w:rsidP="00BA3922">
      <w:pPr>
        <w:rPr>
          <w:rFonts w:ascii="Verdana" w:hAnsi="Verdana"/>
          <w:color w:val="000000"/>
        </w:rPr>
      </w:pPr>
    </w:p>
    <w:p w:rsidR="00BA3922" w:rsidRDefault="00BA3922" w:rsidP="00BA3922">
      <w:pPr>
        <w:rPr>
          <w:rFonts w:ascii="Verdana" w:hAnsi="Verdana"/>
          <w:color w:val="000000"/>
        </w:rPr>
      </w:pPr>
    </w:p>
    <w:p w:rsidR="00BA3922" w:rsidRDefault="00BA3922" w:rsidP="00BA3922">
      <w:pPr>
        <w:rPr>
          <w:rFonts w:ascii="Verdana" w:hAnsi="Verdana"/>
          <w:color w:val="000000"/>
        </w:rPr>
      </w:pPr>
    </w:p>
    <w:p w:rsidR="00BA3922" w:rsidRDefault="00BA3922" w:rsidP="00BA3922">
      <w:pPr>
        <w:rPr>
          <w:rFonts w:ascii="Verdana" w:hAnsi="Verdana"/>
          <w:color w:val="000000"/>
        </w:rPr>
      </w:pPr>
    </w:p>
    <w:p w:rsidR="00BA3922" w:rsidRDefault="00BA3922" w:rsidP="00BA3922">
      <w:pPr>
        <w:rPr>
          <w:rFonts w:ascii="Verdana" w:hAnsi="Verdana"/>
          <w:color w:val="000000"/>
        </w:rPr>
      </w:pPr>
    </w:p>
    <w:p w:rsidR="00BA3922" w:rsidRDefault="00BA3922" w:rsidP="00BA3922">
      <w:pPr>
        <w:rPr>
          <w:rFonts w:ascii="Verdana" w:hAnsi="Verdana"/>
          <w:color w:val="000000"/>
        </w:rPr>
      </w:pPr>
    </w:p>
    <w:p w:rsidR="00BA3922" w:rsidRDefault="00BA3922" w:rsidP="00BA3922">
      <w:pPr>
        <w:rPr>
          <w:rFonts w:ascii="Verdana" w:hAnsi="Verdana"/>
          <w:color w:val="000000"/>
        </w:rPr>
      </w:pPr>
    </w:p>
    <w:p w:rsidR="00BA3922" w:rsidRDefault="00BA3922" w:rsidP="00BA3922">
      <w:pPr>
        <w:rPr>
          <w:rFonts w:ascii="Verdana" w:hAnsi="Verdana"/>
          <w:color w:val="000000"/>
        </w:rPr>
      </w:pPr>
    </w:p>
    <w:p w:rsidR="00F16B3D" w:rsidRPr="00BA3922" w:rsidRDefault="00F16B3D" w:rsidP="00BA3922">
      <w:pPr>
        <w:rPr>
          <w:rFonts w:ascii="Verdana" w:hAnsi="Verdana"/>
          <w:color w:val="000000"/>
        </w:rPr>
      </w:pPr>
    </w:p>
    <w:p w:rsidR="00C04953" w:rsidRDefault="00C71AEE" w:rsidP="009C14E6">
      <w:pPr>
        <w:pStyle w:val="ListParagraph"/>
        <w:numPr>
          <w:ilvl w:val="0"/>
          <w:numId w:val="22"/>
        </w:numPr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lastRenderedPageBreak/>
        <w:t xml:space="preserve">Status offender case plan:  </w:t>
      </w:r>
      <w:r w:rsidR="00EB59E2">
        <w:rPr>
          <w:rFonts w:ascii="Verdana" w:hAnsi="Verdana"/>
          <w:color w:val="000000"/>
        </w:rPr>
        <w:t>If the “Status” case plan is chosen,</w:t>
      </w:r>
      <w:r w:rsidR="009A5A88">
        <w:rPr>
          <w:rFonts w:ascii="Verdana" w:hAnsi="Verdana"/>
          <w:color w:val="000000"/>
        </w:rPr>
        <w:t xml:space="preserve"> on the “Case Plan Information” screen,</w:t>
      </w:r>
      <w:r w:rsidR="00EB59E2">
        <w:rPr>
          <w:rFonts w:ascii="Verdana" w:hAnsi="Verdana"/>
          <w:color w:val="000000"/>
        </w:rPr>
        <w:t xml:space="preserve"> it is important to remember that this will generate an in-home services case plan.  </w:t>
      </w:r>
      <w:r w:rsidR="00AA2797" w:rsidRPr="00417B40">
        <w:rPr>
          <w:rFonts w:ascii="Verdana" w:hAnsi="Verdana"/>
          <w:color w:val="000000" w:themeColor="text1"/>
        </w:rPr>
        <w:t xml:space="preserve">If the status child is </w:t>
      </w:r>
      <w:r w:rsidR="00EB59E2" w:rsidRPr="00417B40">
        <w:rPr>
          <w:rFonts w:ascii="Verdana" w:hAnsi="Verdana"/>
          <w:color w:val="000000" w:themeColor="text1"/>
        </w:rPr>
        <w:t>placed in out of home care</w:t>
      </w:r>
      <w:r w:rsidR="00EB59E2">
        <w:rPr>
          <w:rFonts w:ascii="Verdana" w:hAnsi="Verdana"/>
          <w:color w:val="000000"/>
        </w:rPr>
        <w:t xml:space="preserve">, the “OOHC” case plan will need to be </w:t>
      </w:r>
      <w:r w:rsidR="00AA2797">
        <w:rPr>
          <w:rFonts w:ascii="Verdana" w:hAnsi="Verdana"/>
          <w:color w:val="000000"/>
        </w:rPr>
        <w:t>selected.</w:t>
      </w:r>
      <w:r w:rsidR="00EB59E2">
        <w:rPr>
          <w:rFonts w:ascii="Verdana" w:hAnsi="Verdana"/>
          <w:color w:val="000000"/>
        </w:rPr>
        <w:t xml:space="preserve">  </w:t>
      </w:r>
    </w:p>
    <w:p w:rsidR="009A5A88" w:rsidRDefault="009A5A88" w:rsidP="009A5A88">
      <w:pPr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410881</wp:posOffset>
            </wp:positionH>
            <wp:positionV relativeFrom="paragraph">
              <wp:posOffset>970</wp:posOffset>
            </wp:positionV>
            <wp:extent cx="6374921" cy="1794295"/>
            <wp:effectExtent l="0" t="0" r="698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68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A88" w:rsidRDefault="009A5A88" w:rsidP="009A5A88">
      <w:pPr>
        <w:rPr>
          <w:rFonts w:ascii="Verdana" w:hAnsi="Verdana"/>
          <w:color w:val="000000"/>
        </w:rPr>
      </w:pPr>
    </w:p>
    <w:p w:rsidR="009A5A88" w:rsidRDefault="009A5A88" w:rsidP="009A5A88">
      <w:pPr>
        <w:rPr>
          <w:rFonts w:ascii="Verdana" w:hAnsi="Verdana"/>
          <w:color w:val="000000"/>
        </w:rPr>
      </w:pPr>
    </w:p>
    <w:p w:rsidR="009A5A88" w:rsidRDefault="009A5A88" w:rsidP="009A5A88">
      <w:pPr>
        <w:rPr>
          <w:rFonts w:ascii="Verdana" w:hAnsi="Verdana"/>
          <w:color w:val="000000"/>
        </w:rPr>
      </w:pPr>
    </w:p>
    <w:p w:rsidR="009A5A88" w:rsidRDefault="009A5A88" w:rsidP="009A5A88">
      <w:pPr>
        <w:rPr>
          <w:rFonts w:ascii="Verdana" w:hAnsi="Verdana"/>
          <w:color w:val="000000"/>
        </w:rPr>
      </w:pPr>
    </w:p>
    <w:p w:rsidR="009A5A88" w:rsidRDefault="009A5A88" w:rsidP="009A5A88">
      <w:pPr>
        <w:rPr>
          <w:rFonts w:ascii="Verdana" w:hAnsi="Verdana"/>
          <w:color w:val="000000"/>
        </w:rPr>
      </w:pPr>
    </w:p>
    <w:p w:rsidR="009A5A88" w:rsidRDefault="009A5A88" w:rsidP="009A5A88">
      <w:pPr>
        <w:rPr>
          <w:rFonts w:ascii="Verdana" w:hAnsi="Verdana"/>
          <w:color w:val="000000"/>
        </w:rPr>
      </w:pPr>
    </w:p>
    <w:p w:rsidR="009A5A88" w:rsidRDefault="009A5A88" w:rsidP="009A5A88">
      <w:pPr>
        <w:rPr>
          <w:rFonts w:ascii="Verdana" w:hAnsi="Verdana"/>
          <w:color w:val="000000"/>
        </w:rPr>
      </w:pPr>
    </w:p>
    <w:p w:rsidR="009A5A88" w:rsidRDefault="009A5A88" w:rsidP="009A5A88">
      <w:pPr>
        <w:rPr>
          <w:rFonts w:ascii="Verdana" w:hAnsi="Verdana"/>
          <w:color w:val="000000"/>
        </w:rPr>
      </w:pPr>
    </w:p>
    <w:p w:rsidR="009A5A88" w:rsidRDefault="009A5A88" w:rsidP="009A5A88">
      <w:pPr>
        <w:rPr>
          <w:rFonts w:ascii="Verdana" w:hAnsi="Verdana"/>
          <w:color w:val="000000"/>
        </w:rPr>
      </w:pPr>
    </w:p>
    <w:p w:rsidR="009A5A88" w:rsidRDefault="009A5A88" w:rsidP="009A5A88">
      <w:pPr>
        <w:rPr>
          <w:rFonts w:ascii="Verdana" w:hAnsi="Verdana"/>
          <w:color w:val="000000"/>
        </w:rPr>
      </w:pPr>
    </w:p>
    <w:p w:rsidR="009A5A88" w:rsidRPr="009A5A88" w:rsidRDefault="009A5A88" w:rsidP="009A5A88">
      <w:pPr>
        <w:rPr>
          <w:rFonts w:ascii="Verdana" w:hAnsi="Verdana"/>
          <w:color w:val="000000"/>
        </w:rPr>
      </w:pPr>
    </w:p>
    <w:p w:rsidR="00EB59E2" w:rsidRDefault="00EB59E2" w:rsidP="009C14E6">
      <w:pPr>
        <w:pStyle w:val="ListParagraph"/>
        <w:numPr>
          <w:ilvl w:val="0"/>
          <w:numId w:val="22"/>
        </w:numPr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>Permanency goals:</w:t>
      </w:r>
      <w:r>
        <w:rPr>
          <w:rFonts w:ascii="Verdana" w:hAnsi="Verdana"/>
          <w:color w:val="000000"/>
        </w:rPr>
        <w:t xml:space="preserve">  When choosing a permanency goal for a child</w:t>
      </w:r>
      <w:r w:rsidR="00393707">
        <w:rPr>
          <w:rFonts w:ascii="Verdana" w:hAnsi="Verdana"/>
          <w:color w:val="000000"/>
        </w:rPr>
        <w:t xml:space="preserve"> on the “Permanency/Attachment” screen</w:t>
      </w:r>
      <w:r>
        <w:rPr>
          <w:rFonts w:ascii="Verdana" w:hAnsi="Verdana"/>
          <w:color w:val="000000"/>
        </w:rPr>
        <w:t>, please note that staff will not be permitted to select the goals of “Emancipation” or “P</w:t>
      </w:r>
      <w:r w:rsidR="00393707">
        <w:rPr>
          <w:rFonts w:ascii="Verdana" w:hAnsi="Verdana"/>
          <w:color w:val="000000"/>
        </w:rPr>
        <w:t xml:space="preserve">lanned </w:t>
      </w:r>
      <w:r>
        <w:rPr>
          <w:rFonts w:ascii="Verdana" w:hAnsi="Verdana"/>
          <w:color w:val="000000"/>
        </w:rPr>
        <w:t>P</w:t>
      </w:r>
      <w:r w:rsidR="00393707">
        <w:rPr>
          <w:rFonts w:ascii="Verdana" w:hAnsi="Verdana"/>
          <w:color w:val="000000"/>
        </w:rPr>
        <w:t xml:space="preserve">ermanent </w:t>
      </w:r>
      <w:r>
        <w:rPr>
          <w:rFonts w:ascii="Verdana" w:hAnsi="Verdana"/>
          <w:color w:val="000000"/>
        </w:rPr>
        <w:t>L</w:t>
      </w:r>
      <w:r w:rsidR="00393707">
        <w:rPr>
          <w:rFonts w:ascii="Verdana" w:hAnsi="Verdana"/>
          <w:color w:val="000000"/>
        </w:rPr>
        <w:t xml:space="preserve">iving </w:t>
      </w:r>
      <w:r>
        <w:rPr>
          <w:rFonts w:ascii="Verdana" w:hAnsi="Verdana"/>
          <w:color w:val="000000"/>
        </w:rPr>
        <w:t>A</w:t>
      </w:r>
      <w:r w:rsidR="00393707">
        <w:rPr>
          <w:rFonts w:ascii="Verdana" w:hAnsi="Verdana"/>
          <w:color w:val="000000"/>
        </w:rPr>
        <w:t>rrangement</w:t>
      </w:r>
      <w:r>
        <w:rPr>
          <w:rFonts w:ascii="Verdana" w:hAnsi="Verdana"/>
          <w:color w:val="000000"/>
        </w:rPr>
        <w:t xml:space="preserve">” for a child unless that child is at least sixteen (16) years of age. </w:t>
      </w:r>
    </w:p>
    <w:p w:rsidR="009A5A88" w:rsidRDefault="009A5A88" w:rsidP="009A5A88">
      <w:pPr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410881</wp:posOffset>
            </wp:positionH>
            <wp:positionV relativeFrom="paragraph">
              <wp:posOffset>-2552</wp:posOffset>
            </wp:positionV>
            <wp:extent cx="6418053" cy="819509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21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A88" w:rsidRDefault="009A5A88" w:rsidP="009A5A88">
      <w:pPr>
        <w:rPr>
          <w:rFonts w:ascii="Verdana" w:hAnsi="Verdana"/>
          <w:color w:val="000000"/>
        </w:rPr>
      </w:pPr>
    </w:p>
    <w:p w:rsidR="009A5A88" w:rsidRDefault="009A5A88" w:rsidP="009A5A88">
      <w:pPr>
        <w:rPr>
          <w:rFonts w:ascii="Verdana" w:hAnsi="Verdana"/>
          <w:color w:val="000000"/>
        </w:rPr>
      </w:pPr>
    </w:p>
    <w:p w:rsidR="009A5A88" w:rsidRDefault="009A5A88" w:rsidP="009A5A88">
      <w:pPr>
        <w:rPr>
          <w:rFonts w:ascii="Verdana" w:hAnsi="Verdana"/>
          <w:color w:val="000000"/>
        </w:rPr>
      </w:pPr>
    </w:p>
    <w:p w:rsidR="009A5A88" w:rsidRDefault="009A5A88" w:rsidP="009A5A88">
      <w:pPr>
        <w:rPr>
          <w:rFonts w:ascii="Verdana" w:hAnsi="Verdana"/>
          <w:color w:val="000000"/>
        </w:rPr>
      </w:pPr>
    </w:p>
    <w:p w:rsidR="009A5A88" w:rsidRDefault="009A5A88" w:rsidP="009A5A88">
      <w:pPr>
        <w:rPr>
          <w:rFonts w:ascii="Verdana" w:hAnsi="Verdana"/>
          <w:color w:val="000000"/>
        </w:rPr>
      </w:pPr>
    </w:p>
    <w:p w:rsidR="009A5A88" w:rsidRPr="009A5A88" w:rsidRDefault="009A5A88" w:rsidP="009A5A88">
      <w:pPr>
        <w:rPr>
          <w:rFonts w:ascii="Verdana" w:hAnsi="Verdana"/>
          <w:color w:val="000000"/>
        </w:rPr>
      </w:pPr>
    </w:p>
    <w:p w:rsidR="00EB59E2" w:rsidRDefault="009A5A88" w:rsidP="009C5719">
      <w:pPr>
        <w:pStyle w:val="ListParagraph"/>
        <w:numPr>
          <w:ilvl w:val="0"/>
          <w:numId w:val="22"/>
        </w:numPr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anchor distT="0" distB="0" distL="114300" distR="114300" simplePos="0" relativeHeight="251665408" behindDoc="1" locked="0" layoutInCell="1" allowOverlap="1" wp14:anchorId="442B8F95" wp14:editId="5630332D">
            <wp:simplePos x="0" y="0"/>
            <wp:positionH relativeFrom="column">
              <wp:posOffset>410881</wp:posOffset>
            </wp:positionH>
            <wp:positionV relativeFrom="paragraph">
              <wp:posOffset>672034</wp:posOffset>
            </wp:positionV>
            <wp:extent cx="6521570" cy="2769079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938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9E2">
        <w:rPr>
          <w:rFonts w:ascii="Verdana" w:hAnsi="Verdana"/>
          <w:b/>
          <w:color w:val="000000"/>
        </w:rPr>
        <w:t>Absent parent search:</w:t>
      </w:r>
      <w:r w:rsidR="00EB59E2">
        <w:rPr>
          <w:rFonts w:ascii="Verdana" w:hAnsi="Verdana"/>
          <w:color w:val="000000"/>
        </w:rPr>
        <w:t xml:space="preserve">  When completing the absent parent screens, please note that adding an absent parent to the </w:t>
      </w:r>
      <w:r w:rsidR="009C5719">
        <w:rPr>
          <w:rFonts w:ascii="Verdana" w:hAnsi="Verdana"/>
          <w:color w:val="000000"/>
        </w:rPr>
        <w:t xml:space="preserve">“Summary of Absent Parents” screen does </w:t>
      </w:r>
      <w:r w:rsidR="009C5719" w:rsidRPr="009C5719">
        <w:rPr>
          <w:rFonts w:ascii="Verdana" w:hAnsi="Verdana"/>
          <w:b/>
          <w:color w:val="000000"/>
        </w:rPr>
        <w:t>NOT</w:t>
      </w:r>
      <w:r w:rsidR="009C5719">
        <w:rPr>
          <w:rFonts w:ascii="Verdana" w:hAnsi="Verdana"/>
          <w:color w:val="000000"/>
        </w:rPr>
        <w:t xml:space="preserve"> add them as an individual in the case.  </w:t>
      </w:r>
    </w:p>
    <w:p w:rsidR="009A5A88" w:rsidRDefault="009A5A88" w:rsidP="009A5A88">
      <w:pPr>
        <w:rPr>
          <w:rFonts w:ascii="Verdana" w:hAnsi="Verdana"/>
          <w:color w:val="000000"/>
        </w:rPr>
      </w:pPr>
    </w:p>
    <w:p w:rsidR="009A5A88" w:rsidRDefault="009A5A88" w:rsidP="009A5A88">
      <w:pPr>
        <w:rPr>
          <w:rFonts w:ascii="Verdana" w:hAnsi="Verdana"/>
          <w:color w:val="000000"/>
        </w:rPr>
      </w:pPr>
    </w:p>
    <w:p w:rsidR="009A5A88" w:rsidRDefault="009A5A88" w:rsidP="009A5A88">
      <w:pPr>
        <w:rPr>
          <w:rFonts w:ascii="Verdana" w:hAnsi="Verdana"/>
          <w:color w:val="000000"/>
        </w:rPr>
      </w:pPr>
    </w:p>
    <w:p w:rsidR="009A5A88" w:rsidRDefault="009A5A88" w:rsidP="009A5A88">
      <w:pPr>
        <w:rPr>
          <w:rFonts w:ascii="Verdana" w:hAnsi="Verdana"/>
          <w:color w:val="000000"/>
        </w:rPr>
      </w:pPr>
    </w:p>
    <w:p w:rsidR="009A5A88" w:rsidRDefault="009A5A88" w:rsidP="009A5A88">
      <w:pPr>
        <w:rPr>
          <w:rFonts w:ascii="Verdana" w:hAnsi="Verdana"/>
          <w:color w:val="000000"/>
        </w:rPr>
      </w:pPr>
    </w:p>
    <w:p w:rsidR="009A5A88" w:rsidRDefault="009A5A88" w:rsidP="009A5A88">
      <w:pPr>
        <w:rPr>
          <w:rFonts w:ascii="Verdana" w:hAnsi="Verdana"/>
          <w:color w:val="000000"/>
        </w:rPr>
      </w:pPr>
    </w:p>
    <w:p w:rsidR="009A5A88" w:rsidRDefault="009A5A88" w:rsidP="009A5A88">
      <w:pPr>
        <w:rPr>
          <w:rFonts w:ascii="Verdana" w:hAnsi="Verdana"/>
          <w:color w:val="000000"/>
        </w:rPr>
      </w:pPr>
    </w:p>
    <w:p w:rsidR="009A5A88" w:rsidRDefault="009A5A88" w:rsidP="009A5A88">
      <w:pPr>
        <w:rPr>
          <w:rFonts w:ascii="Verdana" w:hAnsi="Verdana"/>
          <w:color w:val="000000"/>
        </w:rPr>
      </w:pPr>
    </w:p>
    <w:p w:rsidR="009A5A88" w:rsidRDefault="009A5A88" w:rsidP="009A5A88">
      <w:pPr>
        <w:rPr>
          <w:rFonts w:ascii="Verdana" w:hAnsi="Verdana"/>
          <w:color w:val="000000"/>
        </w:rPr>
      </w:pPr>
    </w:p>
    <w:p w:rsidR="009A5A88" w:rsidRDefault="009A5A88" w:rsidP="009A5A88">
      <w:pPr>
        <w:rPr>
          <w:rFonts w:ascii="Verdana" w:hAnsi="Verdana"/>
          <w:color w:val="000000"/>
        </w:rPr>
      </w:pPr>
    </w:p>
    <w:p w:rsidR="009A5A88" w:rsidRDefault="009A5A88" w:rsidP="009A5A88">
      <w:pPr>
        <w:rPr>
          <w:rFonts w:ascii="Verdana" w:hAnsi="Verdana"/>
          <w:color w:val="000000"/>
        </w:rPr>
      </w:pPr>
    </w:p>
    <w:p w:rsidR="009A5A88" w:rsidRDefault="009A5A88" w:rsidP="009A5A88">
      <w:pPr>
        <w:rPr>
          <w:rFonts w:ascii="Verdana" w:hAnsi="Verdana"/>
          <w:color w:val="000000"/>
        </w:rPr>
      </w:pPr>
    </w:p>
    <w:p w:rsidR="009A5A88" w:rsidRDefault="009A5A88" w:rsidP="009A5A88">
      <w:pPr>
        <w:rPr>
          <w:rFonts w:ascii="Verdana" w:hAnsi="Verdana"/>
          <w:color w:val="000000"/>
        </w:rPr>
      </w:pPr>
    </w:p>
    <w:p w:rsidR="009A5A88" w:rsidRDefault="009A5A88" w:rsidP="009A5A88">
      <w:pPr>
        <w:rPr>
          <w:rFonts w:ascii="Verdana" w:hAnsi="Verdana"/>
          <w:color w:val="000000"/>
        </w:rPr>
      </w:pPr>
    </w:p>
    <w:p w:rsidR="009A5A88" w:rsidRDefault="009A5A88" w:rsidP="009A5A88">
      <w:pPr>
        <w:rPr>
          <w:rFonts w:ascii="Verdana" w:hAnsi="Verdana"/>
          <w:color w:val="000000"/>
        </w:rPr>
      </w:pPr>
    </w:p>
    <w:p w:rsidR="009A5A88" w:rsidRDefault="009A5A88" w:rsidP="009A5A88">
      <w:pPr>
        <w:rPr>
          <w:rFonts w:ascii="Verdana" w:hAnsi="Verdana"/>
          <w:color w:val="000000"/>
        </w:rPr>
      </w:pPr>
    </w:p>
    <w:p w:rsidR="009A5A88" w:rsidRPr="009A5A88" w:rsidRDefault="009A5A88" w:rsidP="009A5A88">
      <w:pPr>
        <w:rPr>
          <w:rFonts w:ascii="Verdana" w:hAnsi="Verdana"/>
          <w:color w:val="000000"/>
        </w:rPr>
      </w:pPr>
    </w:p>
    <w:p w:rsidR="009A5A88" w:rsidRDefault="00B23A3E" w:rsidP="001D6A4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If an absent parent needs to be added as an individual, staff must add them into the “Case Individuals” screen:  </w:t>
      </w:r>
    </w:p>
    <w:p w:rsidR="00B23A3E" w:rsidRDefault="00B23A3E" w:rsidP="001D6A40">
      <w:pPr>
        <w:rPr>
          <w:rFonts w:ascii="Verdana" w:hAnsi="Verdana"/>
          <w:color w:val="000000"/>
        </w:rPr>
      </w:pPr>
    </w:p>
    <w:p w:rsidR="009A5A88" w:rsidRDefault="00F16B3D" w:rsidP="001D6A40">
      <w:pPr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anchor distT="0" distB="0" distL="114300" distR="114300" simplePos="0" relativeHeight="251666432" behindDoc="1" locked="0" layoutInCell="1" allowOverlap="1" wp14:anchorId="67251535" wp14:editId="14AB8EDD">
            <wp:simplePos x="0" y="0"/>
            <wp:positionH relativeFrom="column">
              <wp:posOffset>-3810</wp:posOffset>
            </wp:positionH>
            <wp:positionV relativeFrom="paragraph">
              <wp:posOffset>80010</wp:posOffset>
            </wp:positionV>
            <wp:extent cx="6909435" cy="2803525"/>
            <wp:effectExtent l="0" t="0" r="571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35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A3E" w:rsidRDefault="00B23A3E" w:rsidP="001D6A40">
      <w:pPr>
        <w:rPr>
          <w:rFonts w:ascii="Verdana" w:hAnsi="Verdana"/>
          <w:color w:val="000000"/>
        </w:rPr>
      </w:pPr>
    </w:p>
    <w:p w:rsidR="00B23A3E" w:rsidRDefault="00B23A3E" w:rsidP="001D6A40">
      <w:pPr>
        <w:rPr>
          <w:rFonts w:ascii="Verdana" w:hAnsi="Verdana"/>
          <w:color w:val="000000"/>
        </w:rPr>
      </w:pPr>
    </w:p>
    <w:p w:rsidR="00B23A3E" w:rsidRDefault="00B23A3E" w:rsidP="001D6A40">
      <w:pPr>
        <w:rPr>
          <w:rFonts w:ascii="Verdana" w:hAnsi="Verdana"/>
          <w:color w:val="000000"/>
        </w:rPr>
      </w:pPr>
    </w:p>
    <w:p w:rsidR="00B23A3E" w:rsidRDefault="00B23A3E" w:rsidP="001D6A40">
      <w:pPr>
        <w:rPr>
          <w:rFonts w:ascii="Verdana" w:hAnsi="Verdana"/>
          <w:color w:val="000000"/>
        </w:rPr>
      </w:pPr>
    </w:p>
    <w:p w:rsidR="00B23A3E" w:rsidRDefault="00B23A3E" w:rsidP="001D6A40">
      <w:pPr>
        <w:rPr>
          <w:rFonts w:ascii="Verdana" w:hAnsi="Verdana"/>
          <w:color w:val="000000"/>
        </w:rPr>
      </w:pPr>
    </w:p>
    <w:p w:rsidR="00B23A3E" w:rsidRDefault="00B23A3E" w:rsidP="001D6A40">
      <w:pPr>
        <w:rPr>
          <w:rFonts w:ascii="Verdana" w:hAnsi="Verdana"/>
          <w:color w:val="000000"/>
        </w:rPr>
      </w:pPr>
    </w:p>
    <w:p w:rsidR="00B23A3E" w:rsidRDefault="00B23A3E" w:rsidP="001D6A40">
      <w:pPr>
        <w:rPr>
          <w:rFonts w:ascii="Verdana" w:hAnsi="Verdana"/>
          <w:color w:val="000000"/>
        </w:rPr>
      </w:pPr>
    </w:p>
    <w:p w:rsidR="00B23A3E" w:rsidRDefault="00B23A3E" w:rsidP="001D6A40">
      <w:pPr>
        <w:rPr>
          <w:rFonts w:ascii="Verdana" w:hAnsi="Verdana"/>
          <w:color w:val="000000"/>
        </w:rPr>
      </w:pPr>
    </w:p>
    <w:p w:rsidR="00B23A3E" w:rsidRDefault="00B23A3E" w:rsidP="001D6A40">
      <w:pPr>
        <w:rPr>
          <w:rFonts w:ascii="Verdana" w:hAnsi="Verdana"/>
          <w:color w:val="000000"/>
        </w:rPr>
      </w:pPr>
    </w:p>
    <w:p w:rsidR="00B23A3E" w:rsidRDefault="00B23A3E" w:rsidP="001D6A40">
      <w:pPr>
        <w:rPr>
          <w:rFonts w:ascii="Verdana" w:hAnsi="Verdana"/>
          <w:color w:val="000000"/>
        </w:rPr>
      </w:pPr>
    </w:p>
    <w:p w:rsidR="00B23A3E" w:rsidRDefault="00B23A3E" w:rsidP="001D6A40">
      <w:pPr>
        <w:rPr>
          <w:rFonts w:ascii="Verdana" w:hAnsi="Verdana"/>
          <w:color w:val="000000"/>
        </w:rPr>
      </w:pPr>
    </w:p>
    <w:p w:rsidR="009A5A88" w:rsidRDefault="009A5A88" w:rsidP="001D6A40">
      <w:pPr>
        <w:rPr>
          <w:rFonts w:ascii="Verdana" w:hAnsi="Verdana"/>
          <w:color w:val="000000"/>
        </w:rPr>
      </w:pPr>
    </w:p>
    <w:p w:rsidR="009A5A88" w:rsidRDefault="009A5A88" w:rsidP="001D6A40">
      <w:pPr>
        <w:rPr>
          <w:rFonts w:ascii="Verdana" w:hAnsi="Verdana"/>
          <w:color w:val="000000"/>
        </w:rPr>
      </w:pPr>
    </w:p>
    <w:p w:rsidR="009A5A88" w:rsidRDefault="009A5A88" w:rsidP="001D6A40">
      <w:pPr>
        <w:rPr>
          <w:rFonts w:ascii="Verdana" w:hAnsi="Verdana"/>
          <w:color w:val="000000"/>
        </w:rPr>
      </w:pPr>
    </w:p>
    <w:p w:rsidR="009A5A88" w:rsidRDefault="009A5A88" w:rsidP="001D6A40">
      <w:pPr>
        <w:rPr>
          <w:rFonts w:ascii="Verdana" w:hAnsi="Verdana"/>
          <w:color w:val="000000"/>
        </w:rPr>
      </w:pPr>
    </w:p>
    <w:p w:rsidR="009A5A88" w:rsidRDefault="009A5A88" w:rsidP="001D6A40">
      <w:pPr>
        <w:rPr>
          <w:rFonts w:ascii="Verdana" w:hAnsi="Verdana"/>
          <w:color w:val="000000"/>
        </w:rPr>
      </w:pPr>
    </w:p>
    <w:p w:rsidR="00B23A3E" w:rsidRDefault="00B23A3E" w:rsidP="001D6A40">
      <w:pPr>
        <w:rPr>
          <w:rFonts w:ascii="Verdana" w:hAnsi="Verdana"/>
          <w:color w:val="000000"/>
        </w:rPr>
      </w:pPr>
    </w:p>
    <w:p w:rsidR="00B23A3E" w:rsidRDefault="00B23A3E" w:rsidP="001D6A40">
      <w:pPr>
        <w:rPr>
          <w:rFonts w:ascii="Verdana" w:hAnsi="Verdana"/>
          <w:color w:val="000000"/>
        </w:rPr>
      </w:pPr>
    </w:p>
    <w:p w:rsidR="00BA1468" w:rsidRDefault="00BA1468" w:rsidP="001D6A4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For technical assistance regarding the new </w:t>
      </w:r>
      <w:proofErr w:type="spellStart"/>
      <w:r>
        <w:rPr>
          <w:rFonts w:ascii="Verdana" w:hAnsi="Verdana"/>
          <w:color w:val="000000"/>
        </w:rPr>
        <w:t>iTWIST</w:t>
      </w:r>
      <w:proofErr w:type="spellEnd"/>
      <w:r>
        <w:rPr>
          <w:rFonts w:ascii="Verdana" w:hAnsi="Verdana"/>
          <w:color w:val="000000"/>
        </w:rPr>
        <w:t xml:space="preserve"> screens, please contact the TWIST help desk at (502) 564-0104, and choose option 3. </w:t>
      </w:r>
    </w:p>
    <w:p w:rsidR="00BA1468" w:rsidRDefault="00BA1468" w:rsidP="001D6A40">
      <w:pPr>
        <w:rPr>
          <w:rFonts w:ascii="Verdana" w:hAnsi="Verdana"/>
          <w:color w:val="000000"/>
        </w:rPr>
      </w:pPr>
    </w:p>
    <w:p w:rsidR="00992E3F" w:rsidRDefault="00052AD8" w:rsidP="001D6A4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If you have any questions regarding the n</w:t>
      </w:r>
      <w:r w:rsidR="00BA1468">
        <w:rPr>
          <w:rFonts w:ascii="Verdana" w:hAnsi="Verdana"/>
          <w:color w:val="000000"/>
        </w:rPr>
        <w:t>ew in-home case planning process</w:t>
      </w:r>
      <w:r>
        <w:rPr>
          <w:rFonts w:ascii="Verdana" w:hAnsi="Verdana"/>
          <w:color w:val="000000"/>
        </w:rPr>
        <w:t xml:space="preserve">, please contact: </w:t>
      </w:r>
    </w:p>
    <w:p w:rsidR="00052AD8" w:rsidRDefault="00052AD8" w:rsidP="001D6A4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Lucie Estill, Child Protection Branch Manager</w:t>
      </w:r>
    </w:p>
    <w:p w:rsidR="00052AD8" w:rsidRDefault="00330572" w:rsidP="001D6A40">
      <w:pPr>
        <w:rPr>
          <w:rFonts w:ascii="Verdana" w:hAnsi="Verdana"/>
          <w:color w:val="000000"/>
        </w:rPr>
      </w:pPr>
      <w:hyperlink r:id="rId20" w:history="1">
        <w:r w:rsidR="00052AD8" w:rsidRPr="00305B84">
          <w:rPr>
            <w:rStyle w:val="Hyperlink"/>
            <w:rFonts w:ascii="Verdana" w:hAnsi="Verdana"/>
          </w:rPr>
          <w:t>Lucie.estill@ky.gov</w:t>
        </w:r>
      </w:hyperlink>
    </w:p>
    <w:p w:rsidR="00052AD8" w:rsidRDefault="00052AD8" w:rsidP="001D6A4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(502) 564-2136, ext. 3568</w:t>
      </w:r>
    </w:p>
    <w:p w:rsidR="00052AD8" w:rsidRDefault="00052AD8" w:rsidP="001D6A40">
      <w:pPr>
        <w:rPr>
          <w:rFonts w:ascii="Verdana" w:hAnsi="Verdana"/>
          <w:color w:val="000000"/>
        </w:rPr>
      </w:pPr>
    </w:p>
    <w:p w:rsidR="00052AD8" w:rsidRDefault="00052AD8" w:rsidP="001D6A4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If you have questions regarding the out of</w:t>
      </w:r>
      <w:r w:rsidR="00BA1468">
        <w:rPr>
          <w:rFonts w:ascii="Verdana" w:hAnsi="Verdana"/>
          <w:color w:val="000000"/>
        </w:rPr>
        <w:t xml:space="preserve"> home care case planning process</w:t>
      </w:r>
      <w:r>
        <w:rPr>
          <w:rFonts w:ascii="Verdana" w:hAnsi="Verdana"/>
          <w:color w:val="000000"/>
        </w:rPr>
        <w:t xml:space="preserve">, please contact: </w:t>
      </w:r>
    </w:p>
    <w:p w:rsidR="00052AD8" w:rsidRDefault="00052AD8" w:rsidP="001D6A4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Tina Hagenbuch, Out of Home Care Branch Manager</w:t>
      </w:r>
    </w:p>
    <w:p w:rsidR="00052AD8" w:rsidRDefault="00330572" w:rsidP="001D6A40">
      <w:pPr>
        <w:rPr>
          <w:rFonts w:ascii="Verdana" w:hAnsi="Verdana"/>
          <w:color w:val="000000"/>
        </w:rPr>
      </w:pPr>
      <w:hyperlink r:id="rId21" w:history="1">
        <w:r w:rsidR="00052AD8" w:rsidRPr="00305B84">
          <w:rPr>
            <w:rStyle w:val="Hyperlink"/>
            <w:rFonts w:ascii="Verdana" w:hAnsi="Verdana"/>
          </w:rPr>
          <w:t>Tina.hagenbuch@ky.gov</w:t>
        </w:r>
      </w:hyperlink>
    </w:p>
    <w:p w:rsidR="00052AD8" w:rsidRDefault="00052AD8" w:rsidP="001D6A4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(502) 564-6852, ext. 3577</w:t>
      </w:r>
    </w:p>
    <w:p w:rsidR="00052AD8" w:rsidRDefault="00052AD8" w:rsidP="001D6A40">
      <w:pPr>
        <w:rPr>
          <w:rFonts w:ascii="Verdana" w:hAnsi="Verdana"/>
          <w:color w:val="000000"/>
        </w:rPr>
      </w:pPr>
    </w:p>
    <w:p w:rsidR="00052AD8" w:rsidRPr="001E5FB7" w:rsidRDefault="00052AD8" w:rsidP="001D6A40">
      <w:pPr>
        <w:rPr>
          <w:rFonts w:ascii="Verdana" w:hAnsi="Verdana"/>
          <w:color w:val="000000"/>
        </w:rPr>
      </w:pPr>
    </w:p>
    <w:sectPr w:rsidR="00052AD8" w:rsidRPr="001E5FB7" w:rsidSect="0082200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code="1"/>
      <w:pgMar w:top="864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94" w:rsidRDefault="00CE0394">
      <w:r>
        <w:separator/>
      </w:r>
    </w:p>
  </w:endnote>
  <w:endnote w:type="continuationSeparator" w:id="0">
    <w:p w:rsidR="00CE0394" w:rsidRDefault="00CE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B6" w:rsidRDefault="000D07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B6" w:rsidRDefault="000D07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97" w:rsidRDefault="00DB7497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13BDC8" wp14:editId="55644E03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69540D60" wp14:editId="58920F6A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DB7497" w:rsidRDefault="00DB7497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69540D60" wp14:editId="58920F6A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7497" w:rsidRPr="00524DAE" w:rsidRDefault="00DB7497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94" w:rsidRDefault="00CE0394">
      <w:r>
        <w:separator/>
      </w:r>
    </w:p>
  </w:footnote>
  <w:footnote w:type="continuationSeparator" w:id="0">
    <w:p w:rsidR="00CE0394" w:rsidRDefault="00CE0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B6" w:rsidRDefault="000D07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B6" w:rsidRDefault="000D07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97" w:rsidRDefault="00DB7497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332C1A" wp14:editId="372FA448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3377DADA" wp14:editId="1813A6B4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EF0222" wp14:editId="2031BBC7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DB7497" w:rsidRDefault="00DB7497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3377DADA" wp14:editId="1813A6B4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4EF0222" wp14:editId="2031BBC7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7497" w:rsidRDefault="00DB7497" w:rsidP="00797852">
    <w:pPr>
      <w:tabs>
        <w:tab w:val="center" w:pos="5264"/>
      </w:tabs>
      <w:spacing w:line="220" w:lineRule="atLeast"/>
      <w:rPr>
        <w:sz w:val="20"/>
      </w:rPr>
    </w:pPr>
  </w:p>
  <w:p w:rsidR="00DB7497" w:rsidRDefault="00DB7497" w:rsidP="00797852">
    <w:pPr>
      <w:spacing w:line="220" w:lineRule="atLeast"/>
      <w:rPr>
        <w:sz w:val="20"/>
      </w:rPr>
    </w:pPr>
  </w:p>
  <w:p w:rsidR="00DB7497" w:rsidRDefault="00DB7497" w:rsidP="00797852">
    <w:pPr>
      <w:spacing w:line="260" w:lineRule="atLeast"/>
      <w:rPr>
        <w:rFonts w:ascii="TradeGothic LH BoldExtended" w:hAnsi="TradeGothic LH BoldExtended"/>
        <w:sz w:val="20"/>
      </w:rPr>
    </w:pPr>
  </w:p>
  <w:p w:rsidR="00DB7497" w:rsidRDefault="00DB7497" w:rsidP="00797852">
    <w:pPr>
      <w:spacing w:line="260" w:lineRule="atLeast"/>
      <w:rPr>
        <w:sz w:val="20"/>
      </w:rPr>
    </w:pPr>
  </w:p>
  <w:p w:rsidR="00DB7497" w:rsidRDefault="00DB7497" w:rsidP="00797852">
    <w:pPr>
      <w:spacing w:line="260" w:lineRule="atLeast"/>
      <w:rPr>
        <w:sz w:val="20"/>
      </w:rPr>
    </w:pPr>
  </w:p>
  <w:p w:rsidR="00DB7497" w:rsidRDefault="00DB7497" w:rsidP="00797852">
    <w:pPr>
      <w:spacing w:line="140" w:lineRule="atLeast"/>
      <w:rPr>
        <w:sz w:val="20"/>
      </w:rPr>
    </w:pPr>
  </w:p>
  <w:p w:rsidR="00DB7497" w:rsidRDefault="00DB7497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DB7497" w:rsidRDefault="00DB7497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DB7497" w:rsidRDefault="00DB7497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BE38E5" wp14:editId="519981C2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DB7497" w:rsidRDefault="00DB7497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DB7497" w:rsidRDefault="00DB7497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:rsidR="00DB7497" w:rsidRDefault="00DB7497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DB7497" w:rsidRDefault="00DB7497" w:rsidP="00797852">
    <w:pPr>
      <w:pStyle w:val="GovSecretaryDeputySecname"/>
    </w:pPr>
  </w:p>
  <w:p w:rsidR="00DB7497" w:rsidRDefault="00DB7497" w:rsidP="00797852">
    <w:pPr>
      <w:pStyle w:val="GovSecretaryDeputySectilte"/>
    </w:pPr>
    <w:r>
      <w:tab/>
    </w:r>
  </w:p>
  <w:p w:rsidR="00DB7497" w:rsidRPr="00797852" w:rsidRDefault="00DB7497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320"/>
    <w:multiLevelType w:val="hybridMultilevel"/>
    <w:tmpl w:val="C2DE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96B4B"/>
    <w:multiLevelType w:val="hybridMultilevel"/>
    <w:tmpl w:val="E01E8958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>
    <w:nsid w:val="191D13ED"/>
    <w:multiLevelType w:val="hybridMultilevel"/>
    <w:tmpl w:val="1DFC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165271"/>
    <w:multiLevelType w:val="hybridMultilevel"/>
    <w:tmpl w:val="59DE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B3BAC"/>
    <w:multiLevelType w:val="hybridMultilevel"/>
    <w:tmpl w:val="CDAE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E552C"/>
    <w:multiLevelType w:val="hybridMultilevel"/>
    <w:tmpl w:val="295CF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C3620"/>
    <w:multiLevelType w:val="hybridMultilevel"/>
    <w:tmpl w:val="4CC0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FD21FD"/>
    <w:multiLevelType w:val="hybridMultilevel"/>
    <w:tmpl w:val="C7C0B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A807D9"/>
    <w:multiLevelType w:val="hybridMultilevel"/>
    <w:tmpl w:val="6DEA18B8"/>
    <w:lvl w:ilvl="0" w:tplc="B89E2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95D00"/>
    <w:multiLevelType w:val="hybridMultilevel"/>
    <w:tmpl w:val="1304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CA0030"/>
    <w:multiLevelType w:val="hybridMultilevel"/>
    <w:tmpl w:val="4A80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2"/>
  </w:num>
  <w:num w:numId="5">
    <w:abstractNumId w:val="20"/>
  </w:num>
  <w:num w:numId="6">
    <w:abstractNumId w:val="7"/>
  </w:num>
  <w:num w:numId="7">
    <w:abstractNumId w:val="5"/>
  </w:num>
  <w:num w:numId="8">
    <w:abstractNumId w:val="9"/>
  </w:num>
  <w:num w:numId="9">
    <w:abstractNumId w:val="14"/>
  </w:num>
  <w:num w:numId="10">
    <w:abstractNumId w:val="1"/>
  </w:num>
  <w:num w:numId="11">
    <w:abstractNumId w:val="8"/>
  </w:num>
  <w:num w:numId="12">
    <w:abstractNumId w:val="21"/>
  </w:num>
  <w:num w:numId="13">
    <w:abstractNumId w:val="10"/>
  </w:num>
  <w:num w:numId="14">
    <w:abstractNumId w:val="12"/>
  </w:num>
  <w:num w:numId="15">
    <w:abstractNumId w:val="3"/>
  </w:num>
  <w:num w:numId="16">
    <w:abstractNumId w:val="15"/>
  </w:num>
  <w:num w:numId="17">
    <w:abstractNumId w:val="11"/>
  </w:num>
  <w:num w:numId="18">
    <w:abstractNumId w:val="13"/>
  </w:num>
  <w:num w:numId="19">
    <w:abstractNumId w:val="0"/>
  </w:num>
  <w:num w:numId="20">
    <w:abstractNumId w:val="4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24138"/>
    <w:rsid w:val="00030CDE"/>
    <w:rsid w:val="000338B5"/>
    <w:rsid w:val="00052AD8"/>
    <w:rsid w:val="000643B2"/>
    <w:rsid w:val="00072FBF"/>
    <w:rsid w:val="000738CF"/>
    <w:rsid w:val="00097038"/>
    <w:rsid w:val="000C65CA"/>
    <w:rsid w:val="000D07B6"/>
    <w:rsid w:val="000D68D5"/>
    <w:rsid w:val="000E3849"/>
    <w:rsid w:val="000E6D79"/>
    <w:rsid w:val="00106380"/>
    <w:rsid w:val="00112DED"/>
    <w:rsid w:val="001200EA"/>
    <w:rsid w:val="00130405"/>
    <w:rsid w:val="001433CD"/>
    <w:rsid w:val="0015479E"/>
    <w:rsid w:val="0017490F"/>
    <w:rsid w:val="00191703"/>
    <w:rsid w:val="001934E5"/>
    <w:rsid w:val="0019605E"/>
    <w:rsid w:val="001D6A40"/>
    <w:rsid w:val="001E1F00"/>
    <w:rsid w:val="001E5FB7"/>
    <w:rsid w:val="001F3FE8"/>
    <w:rsid w:val="001F56BD"/>
    <w:rsid w:val="00202F1C"/>
    <w:rsid w:val="00220749"/>
    <w:rsid w:val="002257A4"/>
    <w:rsid w:val="00225B33"/>
    <w:rsid w:val="00227F3F"/>
    <w:rsid w:val="00237F32"/>
    <w:rsid w:val="0024483B"/>
    <w:rsid w:val="00276A52"/>
    <w:rsid w:val="00277053"/>
    <w:rsid w:val="00280D3D"/>
    <w:rsid w:val="00291556"/>
    <w:rsid w:val="00295DFF"/>
    <w:rsid w:val="002C690C"/>
    <w:rsid w:val="002D29D3"/>
    <w:rsid w:val="002D5CBA"/>
    <w:rsid w:val="002E26B7"/>
    <w:rsid w:val="002E4D32"/>
    <w:rsid w:val="002E617B"/>
    <w:rsid w:val="002F4F4F"/>
    <w:rsid w:val="003007CF"/>
    <w:rsid w:val="003070B5"/>
    <w:rsid w:val="003134FB"/>
    <w:rsid w:val="00313756"/>
    <w:rsid w:val="00314852"/>
    <w:rsid w:val="00317B3A"/>
    <w:rsid w:val="00322E22"/>
    <w:rsid w:val="00330572"/>
    <w:rsid w:val="003758DD"/>
    <w:rsid w:val="00387552"/>
    <w:rsid w:val="00393707"/>
    <w:rsid w:val="003A643A"/>
    <w:rsid w:val="003B6D88"/>
    <w:rsid w:val="003C0AEC"/>
    <w:rsid w:val="003C10B5"/>
    <w:rsid w:val="003C5712"/>
    <w:rsid w:val="003D1987"/>
    <w:rsid w:val="003D41AE"/>
    <w:rsid w:val="003D5657"/>
    <w:rsid w:val="003E37D8"/>
    <w:rsid w:val="003F166A"/>
    <w:rsid w:val="00417B40"/>
    <w:rsid w:val="00427A0E"/>
    <w:rsid w:val="00436673"/>
    <w:rsid w:val="00447370"/>
    <w:rsid w:val="00447F74"/>
    <w:rsid w:val="004975E7"/>
    <w:rsid w:val="004A082C"/>
    <w:rsid w:val="004A3652"/>
    <w:rsid w:val="004D7A7C"/>
    <w:rsid w:val="005135DD"/>
    <w:rsid w:val="0052108B"/>
    <w:rsid w:val="00524DAE"/>
    <w:rsid w:val="00532EBB"/>
    <w:rsid w:val="00541EA0"/>
    <w:rsid w:val="005524AC"/>
    <w:rsid w:val="00557870"/>
    <w:rsid w:val="00560F32"/>
    <w:rsid w:val="00563796"/>
    <w:rsid w:val="00585967"/>
    <w:rsid w:val="005922E1"/>
    <w:rsid w:val="0059563A"/>
    <w:rsid w:val="005A073E"/>
    <w:rsid w:val="005B2FBA"/>
    <w:rsid w:val="005E6CDD"/>
    <w:rsid w:val="005F1332"/>
    <w:rsid w:val="00601ECA"/>
    <w:rsid w:val="00603F37"/>
    <w:rsid w:val="0062114C"/>
    <w:rsid w:val="00626F38"/>
    <w:rsid w:val="00633FA6"/>
    <w:rsid w:val="0063467E"/>
    <w:rsid w:val="00635969"/>
    <w:rsid w:val="00663278"/>
    <w:rsid w:val="0066589B"/>
    <w:rsid w:val="00677D22"/>
    <w:rsid w:val="00692643"/>
    <w:rsid w:val="0069732D"/>
    <w:rsid w:val="006A7CD8"/>
    <w:rsid w:val="006B2951"/>
    <w:rsid w:val="006B3577"/>
    <w:rsid w:val="006C43DA"/>
    <w:rsid w:val="006C76F7"/>
    <w:rsid w:val="006E13C9"/>
    <w:rsid w:val="006F7EF6"/>
    <w:rsid w:val="0070267F"/>
    <w:rsid w:val="00716D1C"/>
    <w:rsid w:val="007171EB"/>
    <w:rsid w:val="007615B7"/>
    <w:rsid w:val="00764756"/>
    <w:rsid w:val="0077029E"/>
    <w:rsid w:val="00772A4A"/>
    <w:rsid w:val="00782D4B"/>
    <w:rsid w:val="00792735"/>
    <w:rsid w:val="00797852"/>
    <w:rsid w:val="007A0FC9"/>
    <w:rsid w:val="007B16CD"/>
    <w:rsid w:val="007C313D"/>
    <w:rsid w:val="007D217B"/>
    <w:rsid w:val="007F5F6E"/>
    <w:rsid w:val="0081658E"/>
    <w:rsid w:val="008200A1"/>
    <w:rsid w:val="0082200D"/>
    <w:rsid w:val="00841387"/>
    <w:rsid w:val="008439B9"/>
    <w:rsid w:val="0086588A"/>
    <w:rsid w:val="00867DE4"/>
    <w:rsid w:val="008A33B7"/>
    <w:rsid w:val="008A414C"/>
    <w:rsid w:val="008B7EFF"/>
    <w:rsid w:val="008C09F2"/>
    <w:rsid w:val="008D02D6"/>
    <w:rsid w:val="008D6F4E"/>
    <w:rsid w:val="008F2E30"/>
    <w:rsid w:val="00917EB2"/>
    <w:rsid w:val="00923E87"/>
    <w:rsid w:val="00924D99"/>
    <w:rsid w:val="0092767D"/>
    <w:rsid w:val="009317D4"/>
    <w:rsid w:val="009516E4"/>
    <w:rsid w:val="009651EB"/>
    <w:rsid w:val="00986E12"/>
    <w:rsid w:val="00992582"/>
    <w:rsid w:val="00992E3F"/>
    <w:rsid w:val="0099654B"/>
    <w:rsid w:val="009A2194"/>
    <w:rsid w:val="009A5A88"/>
    <w:rsid w:val="009B40EE"/>
    <w:rsid w:val="009C14E6"/>
    <w:rsid w:val="009C5719"/>
    <w:rsid w:val="009D3789"/>
    <w:rsid w:val="009E026F"/>
    <w:rsid w:val="009E638F"/>
    <w:rsid w:val="009F5B5C"/>
    <w:rsid w:val="00A07E8E"/>
    <w:rsid w:val="00A15059"/>
    <w:rsid w:val="00A155CD"/>
    <w:rsid w:val="00A15CB9"/>
    <w:rsid w:val="00A23E6C"/>
    <w:rsid w:val="00A269C2"/>
    <w:rsid w:val="00A4613D"/>
    <w:rsid w:val="00A477DA"/>
    <w:rsid w:val="00A50BF4"/>
    <w:rsid w:val="00A50FFA"/>
    <w:rsid w:val="00A73643"/>
    <w:rsid w:val="00A7373C"/>
    <w:rsid w:val="00A74CB1"/>
    <w:rsid w:val="00A86B1A"/>
    <w:rsid w:val="00A913B3"/>
    <w:rsid w:val="00AA2797"/>
    <w:rsid w:val="00AA61A6"/>
    <w:rsid w:val="00AC036F"/>
    <w:rsid w:val="00AE039D"/>
    <w:rsid w:val="00AE215C"/>
    <w:rsid w:val="00AE21C3"/>
    <w:rsid w:val="00B23A3E"/>
    <w:rsid w:val="00B33CC2"/>
    <w:rsid w:val="00B34C15"/>
    <w:rsid w:val="00B364EA"/>
    <w:rsid w:val="00B428A3"/>
    <w:rsid w:val="00B434D8"/>
    <w:rsid w:val="00B56785"/>
    <w:rsid w:val="00B82F96"/>
    <w:rsid w:val="00B85E7C"/>
    <w:rsid w:val="00BA1468"/>
    <w:rsid w:val="00BA176E"/>
    <w:rsid w:val="00BA3922"/>
    <w:rsid w:val="00BB2221"/>
    <w:rsid w:val="00BC21CE"/>
    <w:rsid w:val="00BC3AD0"/>
    <w:rsid w:val="00BC67F5"/>
    <w:rsid w:val="00BE2487"/>
    <w:rsid w:val="00BF1D9F"/>
    <w:rsid w:val="00BF3A23"/>
    <w:rsid w:val="00C04953"/>
    <w:rsid w:val="00C10849"/>
    <w:rsid w:val="00C1319F"/>
    <w:rsid w:val="00C333CE"/>
    <w:rsid w:val="00C61146"/>
    <w:rsid w:val="00C61406"/>
    <w:rsid w:val="00C64E29"/>
    <w:rsid w:val="00C66601"/>
    <w:rsid w:val="00C71AEE"/>
    <w:rsid w:val="00C77F55"/>
    <w:rsid w:val="00C81A66"/>
    <w:rsid w:val="00C84488"/>
    <w:rsid w:val="00C847BD"/>
    <w:rsid w:val="00CB0280"/>
    <w:rsid w:val="00CC1C59"/>
    <w:rsid w:val="00CC1E33"/>
    <w:rsid w:val="00CE0394"/>
    <w:rsid w:val="00D03318"/>
    <w:rsid w:val="00D03565"/>
    <w:rsid w:val="00D070A4"/>
    <w:rsid w:val="00D351DF"/>
    <w:rsid w:val="00D3596D"/>
    <w:rsid w:val="00D544E0"/>
    <w:rsid w:val="00D55AC9"/>
    <w:rsid w:val="00D5798D"/>
    <w:rsid w:val="00D62EDF"/>
    <w:rsid w:val="00D73EAC"/>
    <w:rsid w:val="00D9414D"/>
    <w:rsid w:val="00D95B48"/>
    <w:rsid w:val="00D97958"/>
    <w:rsid w:val="00DB0D30"/>
    <w:rsid w:val="00DB2256"/>
    <w:rsid w:val="00DB7497"/>
    <w:rsid w:val="00DC1BCE"/>
    <w:rsid w:val="00DC5220"/>
    <w:rsid w:val="00DD0743"/>
    <w:rsid w:val="00DE5516"/>
    <w:rsid w:val="00DE77E4"/>
    <w:rsid w:val="00DF3E1E"/>
    <w:rsid w:val="00DF68FF"/>
    <w:rsid w:val="00E20432"/>
    <w:rsid w:val="00E31138"/>
    <w:rsid w:val="00E315AC"/>
    <w:rsid w:val="00E31F97"/>
    <w:rsid w:val="00E35CB2"/>
    <w:rsid w:val="00E367CE"/>
    <w:rsid w:val="00E407CB"/>
    <w:rsid w:val="00E50F01"/>
    <w:rsid w:val="00E5144F"/>
    <w:rsid w:val="00E5548F"/>
    <w:rsid w:val="00E676B7"/>
    <w:rsid w:val="00E67BEF"/>
    <w:rsid w:val="00E84147"/>
    <w:rsid w:val="00E929A5"/>
    <w:rsid w:val="00E93EA8"/>
    <w:rsid w:val="00EA4020"/>
    <w:rsid w:val="00EB0FEF"/>
    <w:rsid w:val="00EB59E2"/>
    <w:rsid w:val="00EE34D6"/>
    <w:rsid w:val="00F0079B"/>
    <w:rsid w:val="00F035C1"/>
    <w:rsid w:val="00F04C71"/>
    <w:rsid w:val="00F05E3F"/>
    <w:rsid w:val="00F07552"/>
    <w:rsid w:val="00F13124"/>
    <w:rsid w:val="00F16B3D"/>
    <w:rsid w:val="00F235F4"/>
    <w:rsid w:val="00F24449"/>
    <w:rsid w:val="00F27813"/>
    <w:rsid w:val="00F30990"/>
    <w:rsid w:val="00F30C9C"/>
    <w:rsid w:val="00F36945"/>
    <w:rsid w:val="00F70416"/>
    <w:rsid w:val="00F71F7A"/>
    <w:rsid w:val="00F728EC"/>
    <w:rsid w:val="00F93091"/>
    <w:rsid w:val="00FA4B21"/>
    <w:rsid w:val="00FB340E"/>
    <w:rsid w:val="00FB4500"/>
    <w:rsid w:val="00FC65A5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2E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92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315AC"/>
  </w:style>
  <w:style w:type="paragraph" w:styleId="CommentSubject">
    <w:name w:val="annotation subject"/>
    <w:basedOn w:val="CommentText"/>
    <w:next w:val="CommentText"/>
    <w:link w:val="CommentSubjectChar"/>
    <w:rsid w:val="002E4D32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4D32"/>
    <w:rPr>
      <w:rFonts w:ascii="Arial" w:hAnsi="Arial"/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992E3F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992E3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2E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92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315AC"/>
  </w:style>
  <w:style w:type="paragraph" w:styleId="CommentSubject">
    <w:name w:val="annotation subject"/>
    <w:basedOn w:val="CommentText"/>
    <w:next w:val="CommentText"/>
    <w:link w:val="CommentSubjectChar"/>
    <w:rsid w:val="002E4D32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4D32"/>
    <w:rPr>
      <w:rFonts w:ascii="Arial" w:hAnsi="Arial"/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992E3F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992E3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14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9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2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0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2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02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93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5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7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5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85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8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5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0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21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Tina.hagenbuch@ky.gov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mailto:Lucie.estill@ky.gov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aining.eku.edu/twistwebbasedtrg.htm" TargetMode="External"/><Relationship Id="rId24" Type="http://schemas.openxmlformats.org/officeDocument/2006/relationships/footer" Target="footer1.xml"/><Relationship Id="rId32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manuals.sp.chfs.ky.gov/Resources/Pages/formsBrowser.aspx" TargetMode="External"/><Relationship Id="rId19" Type="http://schemas.openxmlformats.org/officeDocument/2006/relationships/image" Target="media/image9.png"/><Relationship Id="rId31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customXml" Target="../customXml/item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1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PPIM</Memo_x0020_Types>
    <Document_x0020_Year xmlns="25652375-5976-448a-91e2-83c2698bbafa">2015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E925C6-7856-403A-ADDD-EA985B54B9A8}"/>
</file>

<file path=customXml/itemProps2.xml><?xml version="1.0" encoding="utf-8"?>
<ds:datastoreItem xmlns:ds="http://schemas.openxmlformats.org/officeDocument/2006/customXml" ds:itemID="{D8159BF5-3757-4768-AFF5-C1ACB4E15A4A}"/>
</file>

<file path=customXml/itemProps3.xml><?xml version="1.0" encoding="utf-8"?>
<ds:datastoreItem xmlns:ds="http://schemas.openxmlformats.org/officeDocument/2006/customXml" ds:itemID="{59253FA1-61AC-4920-B78D-5F54A589ADE1}"/>
</file>

<file path=customXml/itemProps4.xml><?xml version="1.0" encoding="utf-8"?>
<ds:datastoreItem xmlns:ds="http://schemas.openxmlformats.org/officeDocument/2006/customXml" ds:itemID="{915A2A3C-51EB-412E-9A6A-C4129F8C22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718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PPIM 15-09 New TWIST Screens-Case Planning</dc:title>
  <dc:creator>Beth.Holbrook</dc:creator>
  <cp:lastModifiedBy>sarah.cooper</cp:lastModifiedBy>
  <cp:revision>8</cp:revision>
  <cp:lastPrinted>2015-12-11T19:08:00Z</cp:lastPrinted>
  <dcterms:created xsi:type="dcterms:W3CDTF">2015-12-11T16:07:00Z</dcterms:created>
  <dcterms:modified xsi:type="dcterms:W3CDTF">2015-12-14T15:19:00Z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3700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PPIM</vt:lpwstr>
  </property>
  <property fmtid="{D5CDD505-2E9C-101B-9397-08002B2CF9AE}" pid="13" name="Types">
    <vt:lpwstr>Memo</vt:lpwstr>
  </property>
  <property fmtid="{D5CDD505-2E9C-101B-9397-08002B2CF9AE}" pid="14" name="Document Year">
    <vt:lpwstr>2015</vt:lpwstr>
  </property>
</Properties>
</file>